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outlineLvl w:val="0"/>
        <w:rPr>
          <w:rFonts w:ascii="Times New Roman" w:hAnsi="Times New Roman" w:eastAsia="黑体" w:cs="Times New Roman"/>
          <w:kern w:val="0"/>
          <w:sz w:val="36"/>
          <w:szCs w:val="36"/>
        </w:rPr>
      </w:pPr>
      <w:bookmarkStart w:id="0" w:name="_GoBack"/>
      <w:bookmarkEnd w:id="0"/>
      <w:r>
        <w:rPr>
          <w:rFonts w:ascii="Times New Roman" w:hAnsi="Times New Roman" w:eastAsia="黑体" w:cs="Times New Roman"/>
          <w:kern w:val="0"/>
          <w:sz w:val="32"/>
          <w:szCs w:val="32"/>
        </w:rPr>
        <w:t>附件1</w:t>
      </w:r>
    </w:p>
    <w:p>
      <w:pPr>
        <w:pStyle w:val="3"/>
        <w:keepNext w:val="0"/>
        <w:keepLines w:val="0"/>
        <w:widowControl/>
        <w:spacing w:before="312" w:beforeLines="100" w:after="312" w:afterLines="100" w:line="640" w:lineRule="exact"/>
        <w:jc w:val="center"/>
        <w:rPr>
          <w:rFonts w:ascii="Times New Roman" w:hAnsi="Times New Roman" w:eastAsia="方正小标宋简体" w:cs="Times New Roman"/>
          <w:b w:val="0"/>
          <w:sz w:val="44"/>
          <w:szCs w:val="44"/>
        </w:rPr>
      </w:pPr>
      <w:r>
        <w:rPr>
          <w:rFonts w:ascii="Times New Roman" w:hAnsi="Times New Roman" w:eastAsia="方正小标宋简体" w:cs="Times New Roman"/>
          <w:b w:val="0"/>
          <w:sz w:val="44"/>
          <w:szCs w:val="44"/>
        </w:rPr>
        <w:t>中等职业教育指标及相关内涵说明</w:t>
      </w:r>
    </w:p>
    <w:p>
      <w:pPr>
        <w:pStyle w:val="8"/>
        <w:spacing w:before="0" w:beforeAutospacing="0" w:after="0" w:afterAutospacing="0"/>
        <w:ind w:firstLine="640" w:firstLineChars="200"/>
        <w:jc w:val="both"/>
        <w:outlineLvl w:val="2"/>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一、填写说明</w:t>
      </w:r>
    </w:p>
    <w:p>
      <w:pPr>
        <w:widowControl/>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1.“名称”省级年报请填写“省份名称（省代码）”；地市年报请填写“省份+地市（地市代码）”；学校年报请填写“</w:t>
      </w:r>
      <w:r>
        <w:rPr>
          <w:rFonts w:ascii="Times New Roman" w:hAnsi="Times New Roman" w:eastAsia="仿宋_GB2312"/>
          <w:sz w:val="32"/>
          <w:szCs w:val="32"/>
        </w:rPr>
        <w:t>学校全称</w:t>
      </w:r>
      <w:r>
        <w:rPr>
          <w:rFonts w:hint="eastAsia" w:ascii="Times New Roman" w:hAnsi="Times New Roman" w:eastAsia="仿宋_GB2312"/>
          <w:sz w:val="32"/>
          <w:szCs w:val="32"/>
        </w:rPr>
        <w:t>”</w:t>
      </w:r>
      <w:r>
        <w:rPr>
          <w:rFonts w:ascii="Times New Roman" w:hAnsi="Times New Roman" w:eastAsia="仿宋_GB2312"/>
          <w:sz w:val="32"/>
          <w:szCs w:val="32"/>
        </w:rPr>
        <w:t>。</w:t>
      </w:r>
    </w:p>
    <w:p>
      <w:pPr>
        <w:widowControl/>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2.数据指标内涵、数据值、统计时段与“全国中等职业学校管理信息系统”一致。除特殊说明外，均按学年统计，即2021年9月1日至2022年8月31日。</w:t>
      </w:r>
    </w:p>
    <w:p>
      <w:pPr>
        <w:widowControl/>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注意对照</w:t>
      </w:r>
      <w:r>
        <w:rPr>
          <w:rFonts w:hint="eastAsia" w:ascii="Times New Roman" w:hAnsi="Times New Roman" w:eastAsia="仿宋_GB2312"/>
          <w:sz w:val="32"/>
          <w:szCs w:val="32"/>
        </w:rPr>
        <w:t>数据表</w:t>
      </w:r>
      <w:r>
        <w:rPr>
          <w:rFonts w:ascii="Times New Roman" w:hAnsi="Times New Roman" w:eastAsia="仿宋_GB2312"/>
          <w:sz w:val="32"/>
          <w:szCs w:val="32"/>
        </w:rPr>
        <w:t>标注的计量单位，仅填写数字，小数点后保留两位。</w:t>
      </w:r>
    </w:p>
    <w:p>
      <w:pPr>
        <w:widowControl/>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若数据为零值，</w:t>
      </w:r>
      <w:r>
        <w:rPr>
          <w:rFonts w:hint="eastAsia" w:ascii="Times New Roman" w:hAnsi="Times New Roman" w:eastAsia="仿宋_GB2312"/>
          <w:sz w:val="32"/>
          <w:szCs w:val="32"/>
        </w:rPr>
        <w:t>请</w:t>
      </w:r>
      <w:r>
        <w:rPr>
          <w:rFonts w:ascii="Times New Roman" w:hAnsi="Times New Roman" w:eastAsia="仿宋_GB2312"/>
          <w:sz w:val="32"/>
          <w:szCs w:val="32"/>
        </w:rPr>
        <w:t>填“0”；若该指标无数据，</w:t>
      </w:r>
      <w:r>
        <w:rPr>
          <w:rFonts w:hint="eastAsia" w:ascii="Times New Roman" w:hAnsi="Times New Roman" w:eastAsia="仿宋_GB2312"/>
          <w:sz w:val="32"/>
          <w:szCs w:val="32"/>
        </w:rPr>
        <w:t>则</w:t>
      </w:r>
      <w:r>
        <w:rPr>
          <w:rFonts w:ascii="Times New Roman" w:hAnsi="Times New Roman" w:eastAsia="仿宋_GB2312"/>
          <w:sz w:val="32"/>
          <w:szCs w:val="32"/>
        </w:rPr>
        <w:t>填</w:t>
      </w:r>
      <w:r>
        <w:rPr>
          <w:rFonts w:hint="eastAsia" w:ascii="Times New Roman" w:hAnsi="Times New Roman" w:eastAsia="仿宋_GB2312"/>
          <w:sz w:val="32"/>
          <w:szCs w:val="32"/>
        </w:rPr>
        <w:t>“—”</w:t>
      </w:r>
      <w:r>
        <w:rPr>
          <w:rFonts w:ascii="Times New Roman" w:hAnsi="Times New Roman" w:eastAsia="仿宋_GB2312"/>
          <w:sz w:val="32"/>
          <w:szCs w:val="32"/>
        </w:rPr>
        <w:t>。</w:t>
      </w:r>
    </w:p>
    <w:p>
      <w:pPr>
        <w:pStyle w:val="8"/>
        <w:spacing w:before="0" w:beforeAutospacing="0" w:after="0" w:afterAutospacing="0"/>
        <w:ind w:firstLine="640" w:firstLineChars="200"/>
        <w:jc w:val="both"/>
        <w:outlineLvl w:val="2"/>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二、</w:t>
      </w:r>
      <w:r>
        <w:rPr>
          <w:rFonts w:hint="eastAsia" w:ascii="Times New Roman" w:hAnsi="Times New Roman" w:eastAsia="黑体" w:cs="Times New Roman"/>
          <w:sz w:val="32"/>
          <w:szCs w:val="32"/>
          <w:shd w:val="clear" w:color="auto" w:fill="FFFFFF"/>
        </w:rPr>
        <w:t>“</w:t>
      </w:r>
      <w:r>
        <w:rPr>
          <w:rFonts w:ascii="Times New Roman" w:hAnsi="Times New Roman" w:eastAsia="黑体" w:cs="Times New Roman"/>
          <w:sz w:val="32"/>
          <w:szCs w:val="32"/>
          <w:shd w:val="clear" w:color="auto" w:fill="FFFFFF"/>
        </w:rPr>
        <w:t>中等职业教育质量数据表</w:t>
      </w:r>
      <w:r>
        <w:rPr>
          <w:rFonts w:hint="eastAsia" w:ascii="Times New Roman" w:hAnsi="Times New Roman" w:eastAsia="黑体" w:cs="Times New Roman"/>
          <w:sz w:val="32"/>
          <w:szCs w:val="32"/>
          <w:shd w:val="clear" w:color="auto" w:fill="FFFFFF"/>
        </w:rPr>
        <w:t>”指标项及</w:t>
      </w:r>
      <w:r>
        <w:rPr>
          <w:rFonts w:ascii="Times New Roman" w:hAnsi="Times New Roman" w:eastAsia="黑体" w:cs="Times New Roman"/>
          <w:sz w:val="32"/>
          <w:szCs w:val="32"/>
          <w:shd w:val="clear" w:color="auto" w:fill="FFFFFF"/>
        </w:rPr>
        <w:t>说明</w:t>
      </w:r>
    </w:p>
    <w:p>
      <w:pPr>
        <w:ind w:firstLine="640" w:firstLineChars="200"/>
        <w:rPr>
          <w:rStyle w:val="13"/>
        </w:rPr>
      </w:pPr>
      <w:r>
        <w:rPr>
          <w:rFonts w:ascii="Times New Roman" w:hAnsi="Times New Roman" w:eastAsia="仿宋_GB2312" w:cs="Times New Roman"/>
          <w:sz w:val="32"/>
          <w:szCs w:val="32"/>
        </w:rPr>
        <w:t>“中等职业教育质量数据表”系综合衡量</w:t>
      </w:r>
      <w:r>
        <w:rPr>
          <w:rFonts w:hint="eastAsia" w:ascii="Times New Roman" w:hAnsi="Times New Roman" w:eastAsia="仿宋_GB2312" w:cs="Times New Roman"/>
          <w:sz w:val="32"/>
          <w:szCs w:val="32"/>
        </w:rPr>
        <w:t>中等职业学校办学</w:t>
      </w:r>
      <w:r>
        <w:rPr>
          <w:rFonts w:ascii="Times New Roman" w:hAnsi="Times New Roman" w:eastAsia="仿宋_GB2312" w:cs="Times New Roman"/>
          <w:sz w:val="32"/>
          <w:szCs w:val="32"/>
        </w:rPr>
        <w:t>质量的管理评价工具</w:t>
      </w:r>
      <w:r>
        <w:rPr>
          <w:rFonts w:hint="eastAsia" w:ascii="Times New Roman" w:hAnsi="Times New Roman" w:eastAsia="仿宋_GB2312" w:cs="Times New Roman"/>
          <w:sz w:val="32"/>
          <w:szCs w:val="32"/>
        </w:rPr>
        <w:t>，共采集指标40个，包括字段53个。（表1）。</w:t>
      </w:r>
    </w:p>
    <w:p>
      <w:pPr>
        <w:tabs>
          <w:tab w:val="left" w:pos="958"/>
          <w:tab w:val="left" w:pos="1078"/>
        </w:tabs>
        <w:spacing w:line="580" w:lineRule="exact"/>
        <w:jc w:val="center"/>
        <w:outlineLvl w:val="4"/>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表1  中等职业教育质量数据表</w:t>
      </w:r>
    </w:p>
    <w:p>
      <w:pPr>
        <w:jc w:val="left"/>
        <w:outlineLvl w:val="3"/>
        <w:rPr>
          <w:rFonts w:ascii="Times New Roman" w:hAnsi="Times New Roman" w:eastAsia="仿宋_GB2312" w:cs="Times New Roman"/>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4768"/>
        <w:gridCol w:w="834"/>
        <w:gridCol w:w="117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708"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序号</w:t>
            </w:r>
          </w:p>
        </w:tc>
        <w:tc>
          <w:tcPr>
            <w:tcW w:w="4768"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指标</w:t>
            </w:r>
          </w:p>
        </w:tc>
        <w:tc>
          <w:tcPr>
            <w:tcW w:w="834"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单位</w:t>
            </w:r>
          </w:p>
        </w:tc>
        <w:tc>
          <w:tcPr>
            <w:tcW w:w="1170"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2022年</w:t>
            </w:r>
          </w:p>
        </w:tc>
        <w:tc>
          <w:tcPr>
            <w:tcW w:w="1024"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思政课程教师数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德育工作人员数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班主任数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Style w:val="18"/>
                <w:rFonts w:hint="default" w:ascii="仿宋_GB2312" w:hAnsi="仿宋_GB2312" w:eastAsia="仿宋_GB2312" w:cs="仿宋_GB2312"/>
                <w:color w:val="000000" w:themeColor="text1"/>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restart"/>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德育活动学生参与数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其中：国家级</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Style w:val="15"/>
                <w:rFonts w:hint="default" w:ascii="仿宋_GB2312" w:hAnsi="仿宋_GB2312" w:eastAsia="仿宋_GB2312" w:cs="仿宋_GB2312"/>
                <w:b w:val="0"/>
                <w:bCs w:val="0"/>
                <w:color w:val="000000" w:themeColor="text1"/>
                <w:sz w:val="24"/>
                <w:szCs w:val="24"/>
                <w:lang w:bidi="ar"/>
                <w14:textFill>
                  <w14:solidFill>
                    <w14:schemeClr w14:val="tx1"/>
                  </w14:solidFill>
                </w14:textFill>
              </w:rPr>
              <w:t>省级</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Style w:val="15"/>
                <w:rFonts w:hint="default" w:ascii="仿宋_GB2312" w:hAnsi="仿宋_GB2312" w:eastAsia="仿宋_GB2312" w:cs="仿宋_GB2312"/>
                <w:b w:val="0"/>
                <w:bCs w:val="0"/>
                <w:color w:val="000000" w:themeColor="text1"/>
                <w:sz w:val="24"/>
                <w:szCs w:val="24"/>
                <w:lang w:bidi="ar"/>
                <w14:textFill>
                  <w14:solidFill>
                    <w14:schemeClr w14:val="tx1"/>
                  </w14:solidFill>
                </w14:textFill>
              </w:rPr>
              <w:t>地市级</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5</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体育课专任教师数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6</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美育课专任教师数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restart"/>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4768" w:type="dxa"/>
            <w:vAlign w:val="center"/>
          </w:tcPr>
          <w:p>
            <w:pPr>
              <w:widowControl/>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升学总人数</w:t>
            </w:r>
          </w:p>
        </w:tc>
        <w:tc>
          <w:tcPr>
            <w:tcW w:w="834" w:type="dxa"/>
            <w:vAlign w:val="center"/>
          </w:tcPr>
          <w:p>
            <w:pPr>
              <w:widowControl/>
              <w:jc w:val="center"/>
              <w:textAlignment w:val="center"/>
              <w:rPr>
                <w:rFonts w:ascii="仿宋_GB2312" w:hAnsi="仿宋_GB2312" w:eastAsia="仿宋_GB2312" w:cs="仿宋_GB2312"/>
                <w:color w:val="000000" w:themeColor="text1"/>
                <w:kern w:val="0"/>
                <w:sz w:val="22"/>
                <w:lang w:bidi="ar"/>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其中：通过贯通培养升学人数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通过五年一贯制培养升学人数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通过职教高考升学人数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升入职业本科人数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Style w:val="18"/>
                <w:rFonts w:hint="default" w:ascii="仿宋_GB2312" w:hAnsi="仿宋_GB2312" w:eastAsia="仿宋_GB2312" w:cs="仿宋_GB2312"/>
                <w:color w:val="000000" w:themeColor="text1"/>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升入普通本科人数</w:t>
            </w:r>
          </w:p>
        </w:tc>
        <w:tc>
          <w:tcPr>
            <w:tcW w:w="834"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升入专科人数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全日制在校生数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专业数量</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个</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课程总量</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门</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4768" w:type="dxa"/>
            <w:vAlign w:val="center"/>
          </w:tcPr>
          <w:p>
            <w:pPr>
              <w:widowControl/>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参加国家学生体质健康标准测试人数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学生体质测评合格率</w:t>
            </w:r>
          </w:p>
        </w:tc>
        <w:tc>
          <w:tcPr>
            <w:tcW w:w="834"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13</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全国职业院校技能大赛学生获奖人数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14</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全国职业技能大赛学生获奖人数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Style w:val="18"/>
                <w:rFonts w:hint="default" w:ascii="仿宋_GB2312" w:hAnsi="仿宋_GB2312" w:eastAsia="仿宋_GB2312" w:cs="仿宋_GB2312"/>
                <w:color w:val="000000" w:themeColor="text1"/>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15</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pacing w:val="-11"/>
                <w:kern w:val="0"/>
                <w:sz w:val="24"/>
                <w:szCs w:val="24"/>
                <w:lang w:bidi="ar"/>
                <w14:textFill>
                  <w14:solidFill>
                    <w14:schemeClr w14:val="tx1"/>
                  </w14:solidFill>
                </w14:textFill>
              </w:rPr>
              <w:t>职业技能等级证书（含职业资格证书）获取人数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16</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生均校园用地面积</w:t>
            </w:r>
          </w:p>
        </w:tc>
        <w:tc>
          <w:tcPr>
            <w:tcW w:w="834" w:type="dxa"/>
            <w:vAlign w:val="center"/>
          </w:tcPr>
          <w:p>
            <w:pPr>
              <w:widowControl/>
              <w:ind w:left="-42" w:leftChars="-20" w:right="-42" w:rightChars="-2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平方米</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17</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生均校舍建筑面积</w:t>
            </w:r>
          </w:p>
        </w:tc>
        <w:tc>
          <w:tcPr>
            <w:tcW w:w="834" w:type="dxa"/>
            <w:vAlign w:val="center"/>
          </w:tcPr>
          <w:p>
            <w:pPr>
              <w:widowControl/>
              <w:ind w:left="-42" w:leftChars="-20" w:right="-42" w:rightChars="-2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平方米</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18</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生均教学、实习仪器设备资产值</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元</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19</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年生均财政拨款</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元</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20</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纸质图书数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Style w:val="18"/>
                <w:rFonts w:hint="default" w:ascii="仿宋_GB2312" w:hAnsi="仿宋_GB2312" w:eastAsia="仿宋_GB2312" w:cs="仿宋_GB2312"/>
                <w:color w:val="000000" w:themeColor="text1"/>
                <w:lang w:bidi="ar"/>
                <w14:textFill>
                  <w14:solidFill>
                    <w14:schemeClr w14:val="tx1"/>
                  </w14:solidFill>
                </w14:textFill>
              </w:rPr>
              <w:t>册</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21</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电子图书资源数</w:t>
            </w:r>
          </w:p>
        </w:tc>
        <w:tc>
          <w:tcPr>
            <w:tcW w:w="834" w:type="dxa"/>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bidi="ar"/>
                <w14:textFill>
                  <w14:solidFill>
                    <w14:schemeClr w14:val="tx1"/>
                  </w14:solidFill>
                </w14:textFill>
              </w:rPr>
              <w:t>册</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22</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校园网主干最大带宽</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Mbps</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23</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教职员工额定编制数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24</w:t>
            </w:r>
          </w:p>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教职员工总数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restart"/>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25</w:t>
            </w:r>
          </w:p>
        </w:tc>
        <w:tc>
          <w:tcPr>
            <w:tcW w:w="4768"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专任教师数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其中：专业教师数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26</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生师比</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27</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双师型教师总数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28</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高级专业技术职务专任教师占比</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29</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硕士研究生及以上学历专任教师占比</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30</w:t>
            </w:r>
          </w:p>
        </w:tc>
        <w:tc>
          <w:tcPr>
            <w:tcW w:w="4768" w:type="dxa"/>
            <w:vAlign w:val="center"/>
          </w:tcPr>
          <w:p>
            <w:pPr>
              <w:widowControl/>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兼职教师总数</w:t>
            </w:r>
          </w:p>
        </w:tc>
        <w:tc>
          <w:tcPr>
            <w:tcW w:w="834" w:type="dxa"/>
            <w:vAlign w:val="center"/>
          </w:tcPr>
          <w:p>
            <w:pPr>
              <w:jc w:val="center"/>
              <w:outlineLvl w:val="1"/>
              <w:rPr>
                <w:rFonts w:ascii="Times New Roman" w:hAnsi="Times New Roman" w:eastAsia="宋体" w:cs="Times New Roman"/>
                <w:color w:val="000000" w:themeColor="text1"/>
                <w:kern w:val="0"/>
                <w:sz w:val="22"/>
                <w:lang w:bidi="ar"/>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31</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毕业生总数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32</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就业人数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33</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毕业生专业对口就业（升学）人数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restart"/>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3</w:t>
            </w:r>
            <w:r>
              <w:rPr>
                <w:rFonts w:hint="eastAsia" w:ascii="Times New Roman" w:hAnsi="Times New Roman" w:eastAsia="仿宋_GB2312" w:cs="Times New Roman"/>
                <w:color w:val="000000" w:themeColor="text1"/>
                <w:kern w:val="0"/>
                <w:sz w:val="22"/>
                <w:lang w:bidi="ar"/>
                <w14:textFill>
                  <w14:solidFill>
                    <w14:schemeClr w14:val="tx1"/>
                  </w14:solidFill>
                </w14:textFill>
              </w:rPr>
              <w:t>4</w:t>
            </w:r>
          </w:p>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毕业生服务三次产业人数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其中：服务第一产业人数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服务第二产业人数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Merge w:val="continue"/>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4768" w:type="dxa"/>
            <w:vAlign w:val="center"/>
          </w:tcPr>
          <w:p>
            <w:pPr>
              <w:widowControl/>
              <w:ind w:firstLine="720" w:firstLineChars="300"/>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服务第三产业人数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35</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合作企业接收教师企业实践人数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36</w:t>
            </w:r>
          </w:p>
        </w:tc>
        <w:tc>
          <w:tcPr>
            <w:tcW w:w="4768"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合作企业接收学生实习比例</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37</w:t>
            </w:r>
          </w:p>
        </w:tc>
        <w:tc>
          <w:tcPr>
            <w:tcW w:w="4768" w:type="dxa"/>
            <w:vAlign w:val="center"/>
          </w:tcPr>
          <w:p>
            <w:pPr>
              <w:widowControl/>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企业对学校捐赠设备总值</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万元</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38</w:t>
            </w:r>
          </w:p>
        </w:tc>
        <w:tc>
          <w:tcPr>
            <w:tcW w:w="4768"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接收国际学生人数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人</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39</w:t>
            </w:r>
          </w:p>
        </w:tc>
        <w:tc>
          <w:tcPr>
            <w:tcW w:w="4768"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开展分段培养中外合作专业数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个</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40</w:t>
            </w:r>
          </w:p>
        </w:tc>
        <w:tc>
          <w:tcPr>
            <w:tcW w:w="4768"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Style w:val="16"/>
                <w:rFonts w:hint="default" w:ascii="仿宋_GB2312" w:hAnsi="仿宋_GB2312" w:eastAsia="仿宋_GB2312" w:cs="仿宋_GB2312"/>
                <w:b w:val="0"/>
                <w:bCs w:val="0"/>
                <w:color w:val="000000" w:themeColor="text1"/>
                <w:sz w:val="24"/>
                <w:szCs w:val="24"/>
                <w:lang w:bidi="ar"/>
                <w14:textFill>
                  <w14:solidFill>
                    <w14:schemeClr w14:val="tx1"/>
                  </w14:solidFill>
                </w14:textFill>
              </w:rPr>
              <w:t>开发并被国</w:t>
            </w:r>
            <w:r>
              <w:rPr>
                <w:rStyle w:val="17"/>
                <w:rFonts w:hint="eastAsia" w:ascii="仿宋_GB2312" w:hAnsi="仿宋_GB2312" w:eastAsia="仿宋_GB2312" w:cs="仿宋_GB2312"/>
                <w:b w:val="0"/>
                <w:bCs w:val="0"/>
                <w:color w:val="000000" w:themeColor="text1"/>
                <w:sz w:val="24"/>
                <w:szCs w:val="24"/>
                <w:lang w:bidi="ar"/>
                <w14:textFill>
                  <w14:solidFill>
                    <w14:schemeClr w14:val="tx1"/>
                  </w14:solidFill>
                </w14:textFill>
              </w:rPr>
              <w:t xml:space="preserve"> </w:t>
            </w:r>
            <w:r>
              <w:rPr>
                <w:rStyle w:val="16"/>
                <w:rFonts w:hint="default" w:ascii="仿宋_GB2312" w:hAnsi="仿宋_GB2312" w:eastAsia="仿宋_GB2312" w:cs="仿宋_GB2312"/>
                <w:b w:val="0"/>
                <w:bCs w:val="0"/>
                <w:color w:val="000000" w:themeColor="text1"/>
                <w:sz w:val="24"/>
                <w:szCs w:val="24"/>
                <w:lang w:bidi="ar"/>
                <w14:textFill>
                  <w14:solidFill>
                    <w14:schemeClr w14:val="tx1"/>
                  </w14:solidFill>
                </w14:textFill>
              </w:rPr>
              <w:t>（境）外采用的课程数</w:t>
            </w:r>
          </w:p>
        </w:tc>
        <w:tc>
          <w:tcPr>
            <w:tcW w:w="834"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门</w:t>
            </w:r>
          </w:p>
        </w:tc>
        <w:tc>
          <w:tcPr>
            <w:tcW w:w="1170"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024" w:type="dxa"/>
            <w:vAlign w:val="center"/>
          </w:tcPr>
          <w:p>
            <w:pPr>
              <w:jc w:val="center"/>
              <w:outlineLvl w:val="1"/>
              <w:rPr>
                <w:rFonts w:ascii="Times New Roman" w:hAnsi="Times New Roman" w:eastAsia="仿宋_GB2312" w:cs="Times New Roman"/>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 w:val="18"/>
                <w:szCs w:val="18"/>
                <w14:textFill>
                  <w14:solidFill>
                    <w14:schemeClr w14:val="tx1"/>
                  </w14:solidFill>
                </w14:textFill>
              </w:rPr>
              <w:t>引用</w:t>
            </w:r>
          </w:p>
        </w:tc>
      </w:tr>
    </w:tbl>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思政课程教师数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指专门从事《中国特色社会主义》《心理健康与职业生涯》《哲学与人生》《职业道德与法治》等思想政治课程教学工作的校内专任教师数。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德育工作人员数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指在学生管理部门和专业（系）部从事德育管理的人员数。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班主任</w:t>
      </w:r>
      <w:r>
        <w:rPr>
          <w:rFonts w:hint="eastAsia" w:ascii="Times New Roman" w:hAnsi="Times New Roman" w:eastAsia="仿宋_GB2312" w:cs="Times New Roman"/>
          <w:b/>
          <w:bCs/>
          <w:sz w:val="32"/>
          <w:szCs w:val="32"/>
        </w:rPr>
        <w:t>数：</w:t>
      </w:r>
      <w:r>
        <w:rPr>
          <w:rFonts w:hint="eastAsia" w:ascii="Times New Roman" w:hAnsi="Times New Roman" w:eastAsia="仿宋_GB2312" w:cs="Times New Roman"/>
          <w:sz w:val="32"/>
          <w:szCs w:val="32"/>
        </w:rPr>
        <w:t>指在学校现有班级中担任班主任的人数，包括专职和兼职。</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德育活动学生参与数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指学校有组织开展德育活动，统计参与活动的学生总数，并分别统计参与</w:t>
      </w:r>
      <w:r>
        <w:rPr>
          <w:rFonts w:ascii="Times New Roman" w:hAnsi="Times New Roman" w:eastAsia="仿宋_GB2312" w:cs="Times New Roman"/>
          <w:sz w:val="32"/>
          <w:szCs w:val="32"/>
        </w:rPr>
        <w:t>国家级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地市级</w:t>
      </w:r>
      <w:r>
        <w:rPr>
          <w:rFonts w:hint="eastAsia" w:ascii="Times New Roman" w:hAnsi="Times New Roman" w:eastAsia="仿宋_GB2312" w:cs="Times New Roman"/>
          <w:sz w:val="32"/>
          <w:szCs w:val="32"/>
        </w:rPr>
        <w:t>德育活动的学生数。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体育课专任教师数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指具有教师资格，专门从事体育课教学工作的人员数，可包括正式签约聘用的非在编的全职教师，任教学科一般为“体育与健康”。</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美育课专任教师数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指具有教师资格，专门从事音乐、美术和戏剧、戏曲、舞蹈、影视等艺术类美育课教学工作的人员数，可包括正式签约聘用的非在编的全职教师。任教学科一般为艺术、音乐、美术等。</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升学总人数：</w:t>
      </w:r>
      <w:r>
        <w:rPr>
          <w:rFonts w:hint="eastAsia" w:ascii="Times New Roman" w:hAnsi="Times New Roman" w:eastAsia="仿宋_GB2312" w:cs="Times New Roman"/>
          <w:sz w:val="32"/>
          <w:szCs w:val="32"/>
        </w:rPr>
        <w:t>指直接升入各类国内外高等学校的毕业生总数。其中，</w:t>
      </w:r>
      <w:r>
        <w:rPr>
          <w:rFonts w:ascii="Times New Roman" w:hAnsi="Times New Roman" w:eastAsia="仿宋_GB2312" w:cs="Times New Roman"/>
          <w:b/>
          <w:bCs/>
          <w:sz w:val="32"/>
          <w:szCs w:val="32"/>
        </w:rPr>
        <w:t>通过贯通培养升学人数</w:t>
      </w:r>
      <w:r>
        <w:rPr>
          <w:rFonts w:hint="eastAsia" w:ascii="Times New Roman" w:hAnsi="Times New Roman" w:eastAsia="仿宋_GB2312" w:cs="Times New Roman"/>
          <w:sz w:val="32"/>
          <w:szCs w:val="32"/>
        </w:rPr>
        <w:t>指采用中高本贯通培养方式，通过转段考试进入高等教育阶段学习的毕业生数；</w:t>
      </w:r>
      <w:r>
        <w:rPr>
          <w:rFonts w:ascii="Times New Roman" w:hAnsi="Times New Roman" w:eastAsia="仿宋_GB2312" w:cs="Times New Roman"/>
          <w:b/>
          <w:bCs/>
          <w:sz w:val="32"/>
          <w:szCs w:val="32"/>
        </w:rPr>
        <w:t>通过五年一贯制培养升学人数</w:t>
      </w:r>
      <w:r>
        <w:rPr>
          <w:rFonts w:hint="eastAsia" w:ascii="Times New Roman" w:hAnsi="Times New Roman" w:eastAsia="仿宋_GB2312" w:cs="Times New Roman"/>
          <w:sz w:val="32"/>
          <w:szCs w:val="32"/>
        </w:rPr>
        <w:t>指通过高职院校招生的五年一贯制培养方式，进入高等职业教育阶段学习的学生人数；</w:t>
      </w:r>
      <w:r>
        <w:rPr>
          <w:rFonts w:ascii="Times New Roman" w:hAnsi="Times New Roman" w:eastAsia="仿宋_GB2312" w:cs="Times New Roman"/>
          <w:b/>
          <w:bCs/>
          <w:sz w:val="32"/>
          <w:szCs w:val="32"/>
        </w:rPr>
        <w:t>通过职教高考升学人数</w:t>
      </w:r>
      <w:r>
        <w:rPr>
          <w:rFonts w:hint="eastAsia" w:ascii="Times New Roman" w:hAnsi="Times New Roman" w:eastAsia="仿宋_GB2312" w:cs="Times New Roman"/>
          <w:sz w:val="32"/>
          <w:szCs w:val="32"/>
        </w:rPr>
        <w:t>指通过“文化素质+职业技能”考试模式，参加对口考试招生、春季高考、单独考试招生及通过技能拔尖人</w:t>
      </w:r>
      <w:r>
        <w:rPr>
          <w:rFonts w:hint="eastAsia" w:ascii="Times New Roman" w:hAnsi="Times New Roman" w:eastAsia="仿宋_GB2312" w:cs="Times New Roman"/>
          <w:sz w:val="32"/>
          <w:szCs w:val="32"/>
          <w:lang w:val="en-US" w:eastAsia="zh-CN"/>
        </w:rPr>
        <w:t>才</w:t>
      </w:r>
      <w:r>
        <w:rPr>
          <w:rFonts w:hint="eastAsia" w:ascii="Times New Roman" w:hAnsi="Times New Roman" w:eastAsia="仿宋_GB2312" w:cs="Times New Roman"/>
          <w:sz w:val="32"/>
          <w:szCs w:val="32"/>
        </w:rPr>
        <w:t>免试招生等“职教高考”形式，进入高等职业教育阶段学习的毕业生人数。</w:t>
      </w:r>
      <w:r>
        <w:rPr>
          <w:rFonts w:ascii="Times New Roman" w:hAnsi="Times New Roman" w:eastAsia="仿宋_GB2312" w:cs="Times New Roman"/>
          <w:b/>
          <w:bCs/>
          <w:sz w:val="32"/>
          <w:szCs w:val="32"/>
        </w:rPr>
        <w:t>升入职业本科人数</w:t>
      </w:r>
      <w:r>
        <w:rPr>
          <w:rFonts w:hint="eastAsia" w:ascii="Times New Roman" w:hAnsi="Times New Roman" w:eastAsia="仿宋_GB2312" w:cs="Times New Roman"/>
          <w:sz w:val="32"/>
          <w:szCs w:val="32"/>
        </w:rPr>
        <w:t>指通过各种升学渠道升入全日制职业本科院校的毕业生人数；</w:t>
      </w:r>
      <w:r>
        <w:rPr>
          <w:rFonts w:ascii="Times New Roman" w:hAnsi="Times New Roman" w:eastAsia="仿宋_GB2312" w:cs="Times New Roman"/>
          <w:b/>
          <w:bCs/>
          <w:sz w:val="32"/>
          <w:szCs w:val="32"/>
        </w:rPr>
        <w:t>升入普通本科人数</w:t>
      </w:r>
      <w:r>
        <w:rPr>
          <w:rFonts w:hint="eastAsia" w:ascii="Times New Roman" w:hAnsi="Times New Roman" w:eastAsia="仿宋_GB2312" w:cs="Times New Roman"/>
          <w:sz w:val="32"/>
          <w:szCs w:val="32"/>
        </w:rPr>
        <w:t>指通过普通高考升学渠道升入全日制普通本科院校和通过出国就读本科学校的毕业生人数。</w:t>
      </w:r>
      <w:r>
        <w:rPr>
          <w:rFonts w:ascii="Times New Roman" w:hAnsi="Times New Roman" w:eastAsia="仿宋_GB2312" w:cs="Times New Roman"/>
          <w:b/>
          <w:bCs/>
          <w:sz w:val="32"/>
          <w:szCs w:val="32"/>
        </w:rPr>
        <w:t>升入专科人数</w:t>
      </w:r>
      <w:r>
        <w:rPr>
          <w:rFonts w:hint="eastAsia" w:ascii="Times New Roman" w:hAnsi="Times New Roman" w:eastAsia="仿宋_GB2312" w:cs="Times New Roman"/>
          <w:sz w:val="32"/>
          <w:szCs w:val="32"/>
        </w:rPr>
        <w:t>指通过各种升学渠道进入高等教育专科层次的毕业生人数，包括升入高等职业院校专科层次和普通高等院校专科层次。</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全日制在校生数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指注册全日制中职学籍，按照国家相关规定在校学习的学生人数。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专业数量</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指学校每学年开设的所有专业总数，没有在校生的专业不予统计。</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课程</w:t>
      </w:r>
      <w:r>
        <w:rPr>
          <w:rFonts w:hint="eastAsia" w:ascii="Times New Roman" w:hAnsi="Times New Roman" w:eastAsia="仿宋_GB2312" w:cs="Times New Roman"/>
          <w:b/>
          <w:bCs/>
          <w:sz w:val="32"/>
          <w:szCs w:val="32"/>
        </w:rPr>
        <w:t>数</w:t>
      </w:r>
      <w:r>
        <w:rPr>
          <w:rFonts w:ascii="Times New Roman" w:hAnsi="Times New Roman" w:eastAsia="仿宋_GB2312" w:cs="Times New Roman"/>
          <w:b/>
          <w:bCs/>
          <w:sz w:val="32"/>
          <w:szCs w:val="32"/>
        </w:rPr>
        <w:t>量</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指学校每学年开设的所有课程总数。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参加国家学生体质健康标准测试人数：</w:t>
      </w:r>
      <w:r>
        <w:rPr>
          <w:rFonts w:hint="eastAsia" w:ascii="Times New Roman" w:hAnsi="Times New Roman" w:eastAsia="仿宋_GB2312" w:cs="Times New Roman"/>
          <w:sz w:val="32"/>
          <w:szCs w:val="32"/>
        </w:rPr>
        <w:t>指每年学校组织参加国家学生体质健康标准测试的在校生人数。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学生体质测评合格率</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指每学年参加国家学生体质健康标准测试成绩为优秀、良好和及格的人数/参加国家学生体质健康标准测试人数</w:t>
      </w:r>
      <w:r>
        <w:rPr>
          <w:rFonts w:ascii="Arial" w:hAnsi="Arial" w:eastAsia="仿宋_GB2312" w:cs="Arial"/>
          <w:sz w:val="32"/>
          <w:szCs w:val="32"/>
        </w:rPr>
        <w:t>×</w:t>
      </w:r>
      <w:r>
        <w:rPr>
          <w:rFonts w:hint="eastAsia" w:ascii="Times New Roman" w:hAnsi="Times New Roman" w:eastAsia="仿宋_GB2312" w:cs="Times New Roman"/>
          <w:sz w:val="32"/>
          <w:szCs w:val="32"/>
        </w:rPr>
        <w:t>100%。</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全国职业院校技能大赛学生获奖人数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指在全国职业院校技能大赛中获得一等奖、二等奖、三等奖的学生人数。“全国职业院校技能大赛”颁奖单位为教育部牵头的“全国职业院校技能大赛”组委会。</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全国职业技能大赛学生获奖人数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指在全国职业技能大赛中获得金奖、银奖、铜奖、优胜奖的学生人数。“全国职业技能大赛”的颁奖单位为人社部</w:t>
      </w:r>
      <w:r>
        <w:rPr>
          <w:rFonts w:hint="eastAsia" w:ascii="Times New Roman" w:hAnsi="Times New Roman" w:eastAsia="仿宋_GB2312" w:cs="Times New Roman"/>
          <w:sz w:val="32"/>
          <w:szCs w:val="32"/>
          <w:lang w:val="en-US" w:eastAsia="zh-CN"/>
        </w:rPr>
        <w:t>牵头</w:t>
      </w:r>
      <w:r>
        <w:rPr>
          <w:rFonts w:hint="eastAsia" w:ascii="Times New Roman" w:hAnsi="Times New Roman" w:eastAsia="仿宋_GB2312" w:cs="Times New Roman"/>
          <w:sz w:val="32"/>
          <w:szCs w:val="32"/>
        </w:rPr>
        <w:t>的“全国职业技能大赛”组委会。</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职业技能等级证书（含职业资格证书）获取人数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指获得职业技能等级证书（含职业资格证书）的学生数。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生均</w:t>
      </w:r>
      <w:r>
        <w:rPr>
          <w:rFonts w:hint="eastAsia" w:ascii="Times New Roman" w:hAnsi="Times New Roman" w:eastAsia="仿宋_GB2312" w:cs="Times New Roman"/>
          <w:b/>
          <w:bCs/>
          <w:sz w:val="32"/>
          <w:szCs w:val="32"/>
        </w:rPr>
        <w:t>校园用</w:t>
      </w:r>
      <w:r>
        <w:rPr>
          <w:rFonts w:ascii="Times New Roman" w:hAnsi="Times New Roman" w:eastAsia="仿宋_GB2312" w:cs="Times New Roman"/>
          <w:b/>
          <w:bCs/>
          <w:sz w:val="32"/>
          <w:szCs w:val="32"/>
        </w:rPr>
        <w:t>地面积</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指校园用地面积/全日制在校生人数。其中，校园用地面积指学校产权面积和非产权独立使用面积。包括学校体育场、绿化用地，不包括农场、林场的用地面积。</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生均</w:t>
      </w:r>
      <w:r>
        <w:rPr>
          <w:rFonts w:hint="eastAsia" w:ascii="Times New Roman" w:hAnsi="Times New Roman" w:eastAsia="仿宋_GB2312" w:cs="Times New Roman"/>
          <w:b/>
          <w:bCs/>
          <w:sz w:val="32"/>
          <w:szCs w:val="32"/>
        </w:rPr>
        <w:t>校舍建筑</w:t>
      </w:r>
      <w:r>
        <w:rPr>
          <w:rFonts w:ascii="Times New Roman" w:hAnsi="Times New Roman" w:eastAsia="仿宋_GB2312" w:cs="Times New Roman"/>
          <w:b/>
          <w:bCs/>
          <w:sz w:val="32"/>
          <w:szCs w:val="32"/>
        </w:rPr>
        <w:t>面积</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指校舍建筑面积/全日制在校生人数。其中，校舍建筑面积指学校拥有产权不动产证的校舍建筑面积和无产权但独立使用的校舍面积，只计算投入使用的，建设中未交付的不计算在内。</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生均教学、实习仪器设备资产值</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指学校教学、实习仪器设备资产总值/全日制在校生数。教学、实习仪器设备资产总值指学校固定资产中用于教学、实验、实习、科研等仪器设备的资产总值。</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年生均财政拨款</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指学校2021年自然年度</w:t>
      </w:r>
      <w:r>
        <w:rPr>
          <w:rFonts w:ascii="Times New Roman" w:hAnsi="Times New Roman" w:eastAsia="仿宋_GB2312" w:cs="Times New Roman"/>
          <w:sz w:val="32"/>
          <w:szCs w:val="32"/>
        </w:rPr>
        <w:t>通过各</w:t>
      </w:r>
      <w:r>
        <w:rPr>
          <w:rFonts w:hint="eastAsia" w:ascii="Times New Roman" w:hAnsi="Times New Roman" w:eastAsia="仿宋_GB2312" w:cs="Times New Roman"/>
          <w:sz w:val="32"/>
          <w:szCs w:val="32"/>
        </w:rPr>
        <w:t>种财政渠道获得的收入/全日制在校生人数。</w:t>
      </w:r>
      <w:r>
        <w:rPr>
          <w:rFonts w:ascii="Times New Roman" w:hAnsi="Times New Roman" w:eastAsia="仿宋_GB2312" w:cs="Times New Roman"/>
          <w:sz w:val="32"/>
          <w:szCs w:val="32"/>
        </w:rPr>
        <w:t>财政拨款</w:t>
      </w:r>
      <w:r>
        <w:rPr>
          <w:rFonts w:hint="eastAsia" w:ascii="Times New Roman" w:hAnsi="Times New Roman" w:eastAsia="仿宋_GB2312" w:cs="Times New Roman"/>
          <w:sz w:val="32"/>
          <w:szCs w:val="32"/>
        </w:rPr>
        <w:t>包括财政预算内、预算外、专项、经常性补贴等。</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纸质图书数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指学校图书馆及资料室购置的正式出版书籍数量。</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电子图书资源</w:t>
      </w:r>
      <w:r>
        <w:rPr>
          <w:rFonts w:hint="eastAsia" w:ascii="Times New Roman" w:hAnsi="Times New Roman" w:eastAsia="仿宋_GB2312" w:cs="Times New Roman"/>
          <w:b/>
          <w:bCs/>
          <w:sz w:val="32"/>
          <w:szCs w:val="32"/>
        </w:rPr>
        <w:t>总</w:t>
      </w:r>
      <w:r>
        <w:rPr>
          <w:rFonts w:ascii="Times New Roman" w:hAnsi="Times New Roman" w:eastAsia="仿宋_GB2312" w:cs="Times New Roman"/>
          <w:b/>
          <w:bCs/>
          <w:sz w:val="32"/>
          <w:szCs w:val="32"/>
        </w:rPr>
        <w:t>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指学校可使用的数据库中所包含的全文电子图书，以及按单册挑选订购的电子图书数量。其中，电子图书1种算1册，不计算电子期刊，不同数据库包含的同种书刊分别计算。</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校园网主干最大带宽</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指学校内部局域网络环境主干带宽，通常分为10Mbps、100Mbps、1000Mbps、10000Mbps。</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教职员工额定编制数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指人事关系和档案均在学校并纳入学校人事编制的额定总数，包括管理人员编制、专业技术人员编制、工勤人员编制。</w:t>
      </w:r>
    </w:p>
    <w:p>
      <w:pPr>
        <w:numPr>
          <w:ilvl w:val="0"/>
          <w:numId w:val="1"/>
        </w:numPr>
        <w:tabs>
          <w:tab w:val="left" w:pos="958"/>
          <w:tab w:val="left" w:pos="1078"/>
        </w:tabs>
        <w:ind w:left="-11" w:firstLine="641"/>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教职员工总数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指在学校全职工作，并由学校支付工资的编制内人员、聘任制人员数和聘请校外人员，包括正式签约聘用的非在编全职教师，不包括学校已退休教师。</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专任教师数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w:t>
      </w:r>
      <w:r>
        <w:rPr>
          <w:rFonts w:ascii="Times New Roman" w:hAnsi="Times New Roman" w:eastAsia="仿宋_GB2312" w:cs="Times New Roman"/>
          <w:sz w:val="32"/>
          <w:szCs w:val="32"/>
        </w:rPr>
        <w:t>教职员工</w:t>
      </w:r>
      <w:r>
        <w:rPr>
          <w:rFonts w:hint="eastAsia" w:ascii="Times New Roman" w:hAnsi="Times New Roman" w:eastAsia="仿宋_GB2312" w:cs="Times New Roman"/>
          <w:sz w:val="32"/>
          <w:szCs w:val="32"/>
        </w:rPr>
        <w:t>中具有教师资格并专门从事教学工作的人员数。</w:t>
      </w:r>
      <w:r>
        <w:rPr>
          <w:rFonts w:hint="eastAsia" w:ascii="Times New Roman" w:hAnsi="Times New Roman" w:eastAsia="仿宋_GB2312" w:cs="Times New Roman"/>
          <w:b/>
          <w:bCs/>
          <w:sz w:val="32"/>
          <w:szCs w:val="32"/>
        </w:rPr>
        <w:t>专业教师</w:t>
      </w:r>
      <w:r>
        <w:rPr>
          <w:rFonts w:hint="eastAsia" w:ascii="Times New Roman" w:hAnsi="Times New Roman" w:eastAsia="仿宋_GB2312" w:cs="Times New Roman"/>
          <w:sz w:val="32"/>
          <w:szCs w:val="32"/>
        </w:rPr>
        <w:t>指专任教师中专门从事专业课教学的人员。</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生师比</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指全日制在校生人数与专任教师数之比，比值填写为X：1。</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双师型教师总数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指专业教师同时具备教师资格和行业能力资格的专业教师数量。</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高级专业技术职务专任教师占比</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指具有副高及以上专业技术职务专任教师人数/专任教师总数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100%。</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硕士研究生及以上学历专任教师占比</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指具有研究生学历的专任教师人数/专任教师总数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100%。</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兼职教师总数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指学校聘请，兼职担任特定专业课或者实习指导课教学任务的专业技术人员、高技能人才人数。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毕业生总数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指当年学校具有学籍的学生完成教学计划规定课程，考试合格，取得毕业证书的学生总数。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就业</w:t>
      </w:r>
      <w:r>
        <w:rPr>
          <w:rFonts w:ascii="Times New Roman" w:hAnsi="Times New Roman" w:eastAsia="仿宋_GB2312" w:cs="Times New Roman"/>
          <w:b/>
          <w:bCs/>
          <w:sz w:val="32"/>
          <w:szCs w:val="32"/>
        </w:rPr>
        <w:t>人数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指直接上岗就业（含创业、灵活就业、应征入伍）的毕业生人数。</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毕业生专业对口就业</w:t>
      </w:r>
      <w:r>
        <w:rPr>
          <w:rFonts w:hint="eastAsia" w:ascii="Times New Roman" w:hAnsi="Times New Roman" w:eastAsia="仿宋_GB2312" w:cs="Times New Roman"/>
          <w:b/>
          <w:bCs/>
          <w:sz w:val="32"/>
          <w:szCs w:val="32"/>
        </w:rPr>
        <w:t>（升学）人数：</w:t>
      </w:r>
      <w:r>
        <w:rPr>
          <w:rFonts w:hint="eastAsia" w:ascii="Times New Roman" w:hAnsi="Times New Roman" w:eastAsia="仿宋_GB2312" w:cs="Times New Roman"/>
          <w:sz w:val="32"/>
          <w:szCs w:val="32"/>
        </w:rPr>
        <w:t>指当年度毕业生在符合本专业人才培养目标岗位就业和升入高等学校相近专业的人数。统计截止时间为2022年12月31日。</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毕业生服务</w:t>
      </w:r>
      <w:r>
        <w:rPr>
          <w:rFonts w:hint="eastAsia" w:ascii="Times New Roman" w:hAnsi="Times New Roman" w:eastAsia="仿宋_GB2312" w:cs="Times New Roman"/>
          <w:b/>
          <w:bCs/>
          <w:sz w:val="32"/>
          <w:szCs w:val="32"/>
        </w:rPr>
        <w:t>三次产业人数：</w:t>
      </w:r>
      <w:r>
        <w:rPr>
          <w:rFonts w:hint="eastAsia" w:ascii="Times New Roman" w:hAnsi="Times New Roman" w:eastAsia="仿宋_GB2312" w:cs="Times New Roman"/>
          <w:sz w:val="32"/>
          <w:szCs w:val="32"/>
        </w:rPr>
        <w:t>指应届毕业生在第一、第二、第三产业就业总人数。其中，服务第一产业人数为毕业生在第一产业就业人数，</w:t>
      </w:r>
      <w:r>
        <w:rPr>
          <w:rFonts w:hint="eastAsia" w:ascii="Times New Roman" w:hAnsi="Times New Roman" w:eastAsia="仿宋_GB2312" w:cs="Times New Roman"/>
          <w:sz w:val="32"/>
          <w:szCs w:val="32"/>
          <w:lang w:eastAsia="zh-CN"/>
        </w:rPr>
        <w:t>以此类推</w:t>
      </w:r>
      <w:r>
        <w:rPr>
          <w:rFonts w:hint="eastAsia" w:ascii="Times New Roman" w:hAnsi="Times New Roman" w:eastAsia="仿宋_GB2312" w:cs="Times New Roman"/>
          <w:sz w:val="32"/>
          <w:szCs w:val="32"/>
        </w:rPr>
        <w:t>。统计截止时间为2022年12月31日。</w:t>
      </w:r>
    </w:p>
    <w:p>
      <w:pPr>
        <w:numPr>
          <w:ilvl w:val="0"/>
          <w:numId w:val="1"/>
        </w:numPr>
        <w:tabs>
          <w:tab w:val="left" w:pos="958"/>
          <w:tab w:val="left" w:pos="1078"/>
        </w:tabs>
        <w:ind w:left="-11" w:firstLine="643" w:firstLineChars="20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合作企业接收教师企业实践人数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指合作企业每学年接收到企业进行实践的学校专任教师总人数。</w:t>
      </w:r>
    </w:p>
    <w:p>
      <w:pPr>
        <w:numPr>
          <w:ilvl w:val="0"/>
          <w:numId w:val="1"/>
        </w:numPr>
        <w:tabs>
          <w:tab w:val="left" w:pos="958"/>
          <w:tab w:val="left" w:pos="1078"/>
        </w:tabs>
        <w:ind w:left="-11" w:firstLine="643" w:firstLineChars="20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合作企业接收学生实习比例</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指合作企业接收实习学生在总实习学生中的占比，学生实习包括认知实习、跟岗实习、顶岗实习三种形式。指合作企业接收实习学生数/实习学生总数×100%。</w:t>
      </w:r>
    </w:p>
    <w:p>
      <w:pPr>
        <w:numPr>
          <w:ilvl w:val="0"/>
          <w:numId w:val="1"/>
        </w:numPr>
        <w:tabs>
          <w:tab w:val="left" w:pos="958"/>
          <w:tab w:val="left" w:pos="1078"/>
        </w:tabs>
        <w:ind w:left="-10" w:firstLine="640"/>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企业对学校捐赠设备总值</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指企业为学校捐赠、捐助和准捐赠的设备总资产值，按照企业采购原值计算，包括物资和资金。其中，准捐赠</w:t>
      </w:r>
      <w:r>
        <w:rPr>
          <w:rFonts w:ascii="Times New Roman" w:hAnsi="Times New Roman" w:eastAsia="仿宋_GB2312" w:cs="Times New Roman"/>
          <w:sz w:val="32"/>
          <w:szCs w:val="32"/>
        </w:rPr>
        <w:t>指学校具有使用权，没有所有权</w:t>
      </w:r>
      <w:r>
        <w:rPr>
          <w:rFonts w:hint="eastAsia" w:ascii="Times New Roman" w:hAnsi="Times New Roman" w:eastAsia="仿宋_GB2312" w:cs="Times New Roman"/>
          <w:sz w:val="32"/>
          <w:szCs w:val="32"/>
        </w:rPr>
        <w:t>。</w:t>
      </w:r>
    </w:p>
    <w:p>
      <w:pPr>
        <w:numPr>
          <w:ilvl w:val="0"/>
          <w:numId w:val="1"/>
        </w:numPr>
        <w:tabs>
          <w:tab w:val="left" w:pos="958"/>
          <w:tab w:val="left" w:pos="1078"/>
        </w:tabs>
        <w:ind w:left="-11" w:firstLine="641"/>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接收</w:t>
      </w:r>
      <w:r>
        <w:rPr>
          <w:rFonts w:hint="eastAsia" w:ascii="Times New Roman" w:hAnsi="Times New Roman" w:eastAsia="仿宋_GB2312" w:cs="Times New Roman"/>
          <w:b/>
          <w:bCs/>
          <w:sz w:val="32"/>
          <w:szCs w:val="32"/>
        </w:rPr>
        <w:t>国际</w:t>
      </w:r>
      <w:r>
        <w:rPr>
          <w:rFonts w:ascii="Times New Roman" w:hAnsi="Times New Roman" w:eastAsia="仿宋_GB2312" w:cs="Times New Roman"/>
          <w:b/>
          <w:bCs/>
          <w:sz w:val="32"/>
          <w:szCs w:val="32"/>
        </w:rPr>
        <w:t>学生人数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指学校各个专业接收培养的国（境）外留学生总人数。</w:t>
      </w:r>
    </w:p>
    <w:p>
      <w:pPr>
        <w:numPr>
          <w:ilvl w:val="0"/>
          <w:numId w:val="1"/>
        </w:numPr>
        <w:tabs>
          <w:tab w:val="left" w:pos="958"/>
          <w:tab w:val="left" w:pos="1078"/>
        </w:tabs>
        <w:ind w:left="-11" w:firstLine="641"/>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开展分段培养中外合作专业占比</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指学校开展分段 培养的中外合作专业在学校开设专业中占比。指</w:t>
      </w:r>
      <w:r>
        <w:rPr>
          <w:rFonts w:ascii="Times New Roman" w:hAnsi="Times New Roman" w:eastAsia="仿宋_GB2312" w:cs="Times New Roman"/>
          <w:sz w:val="32"/>
          <w:szCs w:val="32"/>
        </w:rPr>
        <w:t>开展分段培养中外合作专业</w:t>
      </w:r>
      <w:r>
        <w:rPr>
          <w:rFonts w:hint="eastAsia" w:ascii="Times New Roman" w:hAnsi="Times New Roman" w:eastAsia="仿宋_GB2312" w:cs="Times New Roman"/>
          <w:sz w:val="32"/>
          <w:szCs w:val="32"/>
        </w:rPr>
        <w:t>数/学校所有专业总数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100%。</w:t>
      </w:r>
    </w:p>
    <w:p>
      <w:pPr>
        <w:numPr>
          <w:ilvl w:val="0"/>
          <w:numId w:val="1"/>
        </w:numPr>
        <w:tabs>
          <w:tab w:val="left" w:pos="958"/>
          <w:tab w:val="left" w:pos="1078"/>
        </w:tabs>
        <w:ind w:left="-11" w:firstLine="641"/>
        <w:outlineLvl w:val="9"/>
        <w:rPr>
          <w:rFonts w:ascii="Times New Roman" w:hAnsi="Times New Roman" w:eastAsia="方正小标宋简体" w:cs="Times New Roman"/>
          <w:sz w:val="32"/>
          <w:szCs w:val="32"/>
        </w:rPr>
      </w:pPr>
      <w:r>
        <w:rPr>
          <w:rFonts w:ascii="Times New Roman" w:hAnsi="Times New Roman" w:eastAsia="仿宋_GB2312" w:cs="Times New Roman"/>
          <w:b/>
          <w:bCs/>
          <w:sz w:val="32"/>
          <w:szCs w:val="32"/>
        </w:rPr>
        <w:t>开发并被国 （境）外采用的课程</w:t>
      </w:r>
      <w:r>
        <w:rPr>
          <w:rFonts w:hint="eastAsia" w:ascii="Times New Roman" w:hAnsi="Times New Roman" w:eastAsia="仿宋_GB2312" w:cs="Times New Roman"/>
          <w:b/>
          <w:bCs/>
          <w:sz w:val="32"/>
          <w:szCs w:val="32"/>
        </w:rPr>
        <w:t>数：</w:t>
      </w:r>
      <w:r>
        <w:rPr>
          <w:rFonts w:hint="eastAsia" w:ascii="Times New Roman" w:hAnsi="Times New Roman" w:eastAsia="仿宋_GB2312" w:cs="Times New Roman"/>
          <w:sz w:val="32"/>
          <w:szCs w:val="32"/>
        </w:rPr>
        <w:t>指学校开发并被国（境）外采用的课程总数。</w:t>
      </w:r>
    </w:p>
    <w:p>
      <w:pPr>
        <w:pStyle w:val="8"/>
        <w:spacing w:before="0" w:beforeAutospacing="0" w:after="0" w:afterAutospacing="0"/>
        <w:ind w:firstLine="640" w:firstLineChars="200"/>
        <w:jc w:val="both"/>
        <w:outlineLvl w:val="2"/>
        <w:rPr>
          <w:rFonts w:ascii="Times New Roman" w:hAnsi="Times New Roman" w:eastAsia="黑体" w:cs="Times New Roman"/>
          <w:sz w:val="32"/>
          <w:szCs w:val="32"/>
          <w:shd w:val="clear" w:color="auto" w:fill="FFFFFF"/>
        </w:rPr>
      </w:pPr>
      <w:r>
        <w:rPr>
          <w:rFonts w:hint="eastAsia" w:ascii="Times New Roman" w:hAnsi="Times New Roman" w:eastAsia="黑体" w:cs="Times New Roman"/>
          <w:sz w:val="32"/>
          <w:szCs w:val="32"/>
          <w:shd w:val="clear" w:color="auto" w:fill="FFFFFF"/>
        </w:rPr>
        <w:t>三、“满意度调查表”指标及相关内涵说明</w:t>
      </w:r>
    </w:p>
    <w:p>
      <w:pPr>
        <w:tabs>
          <w:tab w:val="left" w:pos="958"/>
          <w:tab w:val="left" w:pos="1078"/>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“满意度调查表”系通过对中等职业教育各利益相关者的调查与反馈来反映中等职业学校育人成效的评价管理工具，共采集指标5个，包括字段11个（表2）。</w:t>
      </w:r>
    </w:p>
    <w:p>
      <w:pPr>
        <w:tabs>
          <w:tab w:val="left" w:pos="958"/>
          <w:tab w:val="left" w:pos="1078"/>
        </w:tabs>
        <w:spacing w:line="580" w:lineRule="exact"/>
        <w:jc w:val="center"/>
        <w:outlineLvl w:val="4"/>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表2 中等职业教育满意度调查表</w:t>
      </w:r>
    </w:p>
    <w:p>
      <w:pPr>
        <w:jc w:val="left"/>
        <w:outlineLvl w:val="3"/>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953"/>
        <w:gridCol w:w="707"/>
        <w:gridCol w:w="1126"/>
        <w:gridCol w:w="142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696"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序号</w:t>
            </w:r>
          </w:p>
        </w:tc>
        <w:tc>
          <w:tcPr>
            <w:tcW w:w="2953"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指标</w:t>
            </w:r>
          </w:p>
        </w:tc>
        <w:tc>
          <w:tcPr>
            <w:tcW w:w="707"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单位</w:t>
            </w:r>
          </w:p>
        </w:tc>
        <w:tc>
          <w:tcPr>
            <w:tcW w:w="1126"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2022年</w:t>
            </w:r>
          </w:p>
        </w:tc>
        <w:tc>
          <w:tcPr>
            <w:tcW w:w="1425"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调查人次</w:t>
            </w:r>
          </w:p>
        </w:tc>
        <w:tc>
          <w:tcPr>
            <w:tcW w:w="1597"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调查方式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Merge w:val="restart"/>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1</w:t>
            </w:r>
          </w:p>
        </w:tc>
        <w:tc>
          <w:tcPr>
            <w:tcW w:w="2953"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在校生满意度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其中：课堂育人满意度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ind w:firstLine="720" w:firstLineChars="300"/>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课外育人满意度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ind w:left="718" w:leftChars="342"/>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思想政治课教学满意度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ind w:left="718" w:leftChars="342"/>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公共基础课（不含思想政治课）教学满意度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ind w:firstLine="720" w:firstLineChars="300"/>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专业课教学满意度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Merge w:val="restart"/>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2</w:t>
            </w:r>
          </w:p>
        </w:tc>
        <w:tc>
          <w:tcPr>
            <w:tcW w:w="2953" w:type="dxa"/>
            <w:vAlign w:val="center"/>
          </w:tcPr>
          <w:p>
            <w:pPr>
              <w:widowControl/>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毕业生满意度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w:t>
            </w:r>
          </w:p>
        </w:tc>
        <w:tc>
          <w:tcPr>
            <w:tcW w:w="1425"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ind w:left="720" w:hanging="720" w:hangingChars="300"/>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其中：应届毕业生满意度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6"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3" w:type="dxa"/>
            <w:vAlign w:val="center"/>
          </w:tcPr>
          <w:p>
            <w:pPr>
              <w:widowControl/>
              <w:ind w:left="718" w:leftChars="342"/>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毕业三年内毕业生满意度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3</w:t>
            </w:r>
          </w:p>
        </w:tc>
        <w:tc>
          <w:tcPr>
            <w:tcW w:w="2953"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教职工满意度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2953"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用人单位满意度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6"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2953"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家长满意度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126"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425"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9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bl>
    <w:p>
      <w:pPr>
        <w:numPr>
          <w:ilvl w:val="0"/>
          <w:numId w:val="2"/>
        </w:numPr>
        <w:tabs>
          <w:tab w:val="left" w:pos="958"/>
          <w:tab w:val="left" w:pos="1078"/>
        </w:tabs>
        <w:ind w:left="-11" w:firstLine="641"/>
        <w:rPr>
          <w:rFonts w:ascii="Times New Roman" w:hAnsi="Times New Roman" w:eastAsia="仿宋_GB2312" w:cs="Times New Roman"/>
          <w:sz w:val="32"/>
          <w:szCs w:val="32"/>
        </w:rPr>
      </w:pPr>
      <w:r>
        <w:rPr>
          <w:rFonts w:ascii="Times New Roman" w:hAnsi="Times New Roman" w:eastAsia="仿宋_GB2312" w:cs="Times New Roman"/>
          <w:b/>
          <w:bCs/>
          <w:sz w:val="32"/>
          <w:szCs w:val="32"/>
        </w:rPr>
        <w:t>在校生满意度</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在校一、二年级学生的满意度评价，包括对学校教学管理、学生管理、后勤服务、课堂育人、课外育人、思政课教学、文化基础课教学、专业技能课教学等的满意度，学校可通过科学合理的方式对本校全日制在校生进行充分调查获取，需简要说明样本数量及调查方式。</w:t>
      </w:r>
    </w:p>
    <w:p>
      <w:pPr>
        <w:numPr>
          <w:ilvl w:val="0"/>
          <w:numId w:val="2"/>
        </w:numPr>
        <w:tabs>
          <w:tab w:val="left" w:pos="958"/>
          <w:tab w:val="left" w:pos="1078"/>
        </w:tabs>
        <w:ind w:left="-10"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毕业生满意度：</w:t>
      </w:r>
      <w:r>
        <w:rPr>
          <w:rFonts w:hint="eastAsia" w:ascii="Times New Roman" w:hAnsi="Times New Roman" w:eastAsia="仿宋_GB2312" w:cs="Times New Roman"/>
          <w:sz w:val="32"/>
          <w:szCs w:val="32"/>
        </w:rPr>
        <w:t>指学校毕业生的满意度评价，包括应届毕业生和已毕业三年内毕业生。学校可通过科学合理的方式对本校毕业生进行充分调查获取，需简要说明样本数量及调查方式。</w:t>
      </w:r>
    </w:p>
    <w:p>
      <w:pPr>
        <w:numPr>
          <w:ilvl w:val="0"/>
          <w:numId w:val="2"/>
        </w:numPr>
        <w:tabs>
          <w:tab w:val="left" w:pos="958"/>
          <w:tab w:val="left" w:pos="1078"/>
        </w:tabs>
        <w:ind w:left="-10"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教职工满意度：</w:t>
      </w:r>
      <w:r>
        <w:rPr>
          <w:rFonts w:hint="eastAsia" w:ascii="Times New Roman" w:hAnsi="Times New Roman" w:eastAsia="仿宋_GB2312" w:cs="Times New Roman"/>
          <w:sz w:val="32"/>
          <w:szCs w:val="32"/>
        </w:rPr>
        <w:t>指学校教职员工满意度评价。学校可通过科学合理的方式对本校教职员工进行充分调查获取，需简要说明样本数量及调查方式。</w:t>
      </w:r>
    </w:p>
    <w:p>
      <w:pPr>
        <w:numPr>
          <w:ilvl w:val="0"/>
          <w:numId w:val="2"/>
        </w:numPr>
        <w:tabs>
          <w:tab w:val="left" w:pos="958"/>
          <w:tab w:val="left" w:pos="1078"/>
        </w:tabs>
        <w:ind w:left="-10"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用人单位满意度：</w:t>
      </w:r>
      <w:r>
        <w:rPr>
          <w:rFonts w:hint="eastAsia" w:ascii="Times New Roman" w:hAnsi="Times New Roman" w:eastAsia="仿宋_GB2312" w:cs="Times New Roman"/>
          <w:sz w:val="32"/>
          <w:szCs w:val="32"/>
        </w:rPr>
        <w:t>指录用应届毕业生的单位或部门对录用本校学生的满意度评价。学校可通过科学合理的方式对用人单位进行充分调查获取，需简要说明样本数量及调查方式。</w:t>
      </w:r>
    </w:p>
    <w:p>
      <w:pPr>
        <w:numPr>
          <w:ilvl w:val="0"/>
          <w:numId w:val="2"/>
        </w:numPr>
        <w:tabs>
          <w:tab w:val="left" w:pos="958"/>
          <w:tab w:val="left" w:pos="1078"/>
        </w:tabs>
        <w:ind w:left="-10"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家长满意度：</w:t>
      </w:r>
      <w:r>
        <w:rPr>
          <w:rFonts w:hint="eastAsia" w:ascii="Times New Roman" w:hAnsi="Times New Roman" w:eastAsia="仿宋_GB2312" w:cs="Times New Roman"/>
          <w:sz w:val="32"/>
          <w:szCs w:val="32"/>
        </w:rPr>
        <w:t>指学生家长的满意度评价。学校可通过科学合理的方式对全日制在校生家长和毕业生家长进行充分调查获取，需简要说明样本数量及调查方式。</w:t>
      </w:r>
    </w:p>
    <w:p>
      <w:pPr>
        <w:numPr>
          <w:ilvl w:val="255"/>
          <w:numId w:val="0"/>
        </w:num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br w:type="page"/>
      </w:r>
    </w:p>
    <w:p>
      <w:pPr>
        <w:adjustRightInd w:val="0"/>
        <w:snapToGrid w:val="0"/>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p>
    <w:p>
      <w:pPr>
        <w:pStyle w:val="3"/>
        <w:keepNext w:val="0"/>
        <w:keepLines w:val="0"/>
        <w:widowControl/>
        <w:spacing w:before="312" w:beforeLines="100" w:after="312" w:afterLines="100" w:line="640" w:lineRule="exact"/>
        <w:jc w:val="center"/>
        <w:rPr>
          <w:rFonts w:ascii="Times New Roman" w:hAnsi="Times New Roman" w:eastAsia="方正小标宋简体" w:cs="Times New Roman"/>
          <w:b w:val="0"/>
          <w:sz w:val="44"/>
          <w:szCs w:val="44"/>
        </w:rPr>
      </w:pPr>
      <w:r>
        <w:rPr>
          <w:rFonts w:hint="eastAsia" w:ascii="Times New Roman" w:hAnsi="Times New Roman" w:eastAsia="方正小标宋简体" w:cs="Times New Roman"/>
          <w:b w:val="0"/>
          <w:sz w:val="44"/>
          <w:szCs w:val="44"/>
        </w:rPr>
        <w:t>高等</w:t>
      </w:r>
      <w:r>
        <w:rPr>
          <w:rFonts w:ascii="Times New Roman" w:hAnsi="Times New Roman" w:eastAsia="方正小标宋简体" w:cs="Times New Roman"/>
          <w:b w:val="0"/>
          <w:sz w:val="44"/>
          <w:szCs w:val="44"/>
        </w:rPr>
        <w:t>职业教育指标及相关内涵说明</w:t>
      </w:r>
    </w:p>
    <w:p>
      <w:pPr>
        <w:ind w:firstLine="640" w:firstLineChars="200"/>
        <w:rPr>
          <w:rFonts w:ascii="Times New Roman" w:hAnsi="Times New Roman" w:eastAsia="仿宋_GB2312"/>
          <w:kern w:val="0"/>
          <w:sz w:val="32"/>
          <w:szCs w:val="32"/>
        </w:rPr>
      </w:pPr>
      <w:r>
        <w:rPr>
          <w:rFonts w:hint="eastAsia" w:ascii="黑体" w:hAnsi="黑体" w:eastAsia="黑体" w:cs="黑体"/>
          <w:kern w:val="0"/>
          <w:sz w:val="32"/>
          <w:szCs w:val="32"/>
        </w:rPr>
        <w:t>一、填写说明</w:t>
      </w:r>
    </w:p>
    <w:p>
      <w:pPr>
        <w:numPr>
          <w:ilvl w:val="0"/>
          <w:numId w:val="3"/>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“名称”省级年报请填写“省份名称（省代码）”；学校年报请填写“</w:t>
      </w:r>
      <w:r>
        <w:rPr>
          <w:rFonts w:ascii="Times New Roman" w:hAnsi="Times New Roman" w:eastAsia="仿宋_GB2312" w:cs="Times New Roman"/>
          <w:sz w:val="32"/>
          <w:szCs w:val="32"/>
        </w:rPr>
        <w:t>学校全称</w:t>
      </w:r>
      <w:r>
        <w:rPr>
          <w:rFonts w:hint="eastAsia" w:ascii="Times New Roman" w:hAnsi="Times New Roman" w:eastAsia="仿宋_GB2312" w:cs="Times New Roman"/>
          <w:sz w:val="32"/>
          <w:szCs w:val="32"/>
        </w:rPr>
        <w:t>（教育部编排的高等学校5位代码）”</w:t>
      </w:r>
      <w:r>
        <w:rPr>
          <w:rFonts w:ascii="Times New Roman" w:hAnsi="Times New Roman" w:eastAsia="仿宋_GB2312" w:cs="Times New Roman"/>
          <w:sz w:val="32"/>
          <w:szCs w:val="32"/>
        </w:rPr>
        <w:t>。</w:t>
      </w:r>
    </w:p>
    <w:p>
      <w:pPr>
        <w:numPr>
          <w:ilvl w:val="0"/>
          <w:numId w:val="3"/>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据指标内涵、数据值、统计时段除特别说明，与“高职院校人才培养状态数据采集与管理平台”一致。备注中“引用”指由“高职院校人才培养状态数据采集与管理平台”自动获取。学校只填写备注为“学校填报”的数据。</w:t>
      </w:r>
    </w:p>
    <w:p>
      <w:pPr>
        <w:numPr>
          <w:ilvl w:val="0"/>
          <w:numId w:val="3"/>
        </w:numPr>
        <w:tabs>
          <w:tab w:val="left" w:pos="958"/>
          <w:tab w:val="left" w:pos="1078"/>
        </w:tabs>
        <w:ind w:left="-11" w:firstLine="641"/>
        <w:outlineLvl w:val="5"/>
        <w:rPr>
          <w:rFonts w:ascii="Times New Roman" w:hAnsi="Times New Roman" w:eastAsia="仿宋_GB2312" w:cs="Times New Roman"/>
          <w:sz w:val="32"/>
          <w:szCs w:val="32"/>
        </w:rPr>
      </w:pPr>
      <w:r>
        <w:rPr>
          <w:rFonts w:ascii="Times New Roman" w:hAnsi="Times New Roman" w:eastAsia="仿宋_GB2312" w:cs="Times New Roman"/>
          <w:sz w:val="32"/>
          <w:szCs w:val="32"/>
        </w:rPr>
        <w:t>注意对照</w:t>
      </w:r>
      <w:r>
        <w:rPr>
          <w:rFonts w:hint="eastAsia" w:ascii="Times New Roman" w:hAnsi="Times New Roman" w:eastAsia="仿宋_GB2312" w:cs="Times New Roman"/>
          <w:sz w:val="32"/>
          <w:szCs w:val="32"/>
        </w:rPr>
        <w:t>数据表</w:t>
      </w:r>
      <w:r>
        <w:rPr>
          <w:rFonts w:ascii="Times New Roman" w:hAnsi="Times New Roman" w:eastAsia="仿宋_GB2312" w:cs="Times New Roman"/>
          <w:sz w:val="32"/>
          <w:szCs w:val="32"/>
        </w:rPr>
        <w:t>标注的计量单位，仅填写数字，小数点后保留两位。</w:t>
      </w:r>
    </w:p>
    <w:p>
      <w:pPr>
        <w:numPr>
          <w:ilvl w:val="0"/>
          <w:numId w:val="3"/>
        </w:numPr>
        <w:tabs>
          <w:tab w:val="left" w:pos="958"/>
          <w:tab w:val="left" w:pos="1078"/>
        </w:tabs>
        <w:ind w:left="-11" w:firstLine="641"/>
        <w:outlineLvl w:val="5"/>
        <w:rPr>
          <w:rFonts w:ascii="Times New Roman" w:hAnsi="Times New Roman" w:eastAsia="仿宋_GB2312" w:cs="Times New Roman"/>
          <w:sz w:val="32"/>
          <w:szCs w:val="32"/>
        </w:rPr>
      </w:pPr>
      <w:r>
        <w:rPr>
          <w:rFonts w:ascii="Times New Roman" w:hAnsi="Times New Roman" w:eastAsia="仿宋_GB2312" w:cs="Times New Roman"/>
          <w:sz w:val="32"/>
          <w:szCs w:val="32"/>
        </w:rPr>
        <w:t>若数据为零值，</w:t>
      </w:r>
      <w:r>
        <w:rPr>
          <w:rFonts w:hint="eastAsia" w:ascii="Times New Roman" w:hAnsi="Times New Roman" w:eastAsia="仿宋_GB2312" w:cs="Times New Roman"/>
          <w:sz w:val="32"/>
          <w:szCs w:val="32"/>
        </w:rPr>
        <w:t>请</w:t>
      </w:r>
      <w:r>
        <w:rPr>
          <w:rFonts w:ascii="Times New Roman" w:hAnsi="Times New Roman" w:eastAsia="仿宋_GB2312" w:cs="Times New Roman"/>
          <w:sz w:val="32"/>
          <w:szCs w:val="32"/>
        </w:rPr>
        <w:t>填“0”；若该指标无数据，</w:t>
      </w:r>
      <w:r>
        <w:rPr>
          <w:rFonts w:hint="eastAsia" w:ascii="Times New Roman" w:hAnsi="Times New Roman" w:eastAsia="仿宋_GB2312" w:cs="Times New Roman"/>
          <w:sz w:val="32"/>
          <w:szCs w:val="32"/>
        </w:rPr>
        <w:t>则</w:t>
      </w:r>
      <w:r>
        <w:rPr>
          <w:rFonts w:ascii="Times New Roman" w:hAnsi="Times New Roman" w:eastAsia="仿宋_GB2312" w:cs="Times New Roman"/>
          <w:sz w:val="32"/>
          <w:szCs w:val="32"/>
        </w:rPr>
        <w:t>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二、“计分卡”指标及相关内涵说明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“计分卡”系综合衡量高等职业学校人才培养质量的管理评价工具，共</w:t>
      </w:r>
      <w:r>
        <w:rPr>
          <w:rFonts w:hint="eastAsia" w:ascii="Times New Roman" w:hAnsi="Times New Roman" w:eastAsia="仿宋_GB2312" w:cs="Times New Roman"/>
          <w:sz w:val="32"/>
          <w:szCs w:val="32"/>
        </w:rPr>
        <w:t>采集指标</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个，包括字段11个（表1）。</w:t>
      </w:r>
    </w:p>
    <w:p>
      <w:pPr>
        <w:jc w:val="center"/>
        <w:outlineLvl w:val="2"/>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表</w:t>
      </w:r>
      <w:r>
        <w:rPr>
          <w:rFonts w:ascii="Times New Roman" w:hAnsi="Times New Roman" w:eastAsia="方正小标宋简体" w:cs="Times New Roman"/>
          <w:sz w:val="32"/>
          <w:szCs w:val="32"/>
        </w:rPr>
        <w:t xml:space="preserve">1 </w:t>
      </w:r>
      <w:r>
        <w:rPr>
          <w:rFonts w:hint="eastAsia" w:ascii="Times New Roman" w:hAnsi="Times New Roman" w:eastAsia="方正小标宋简体" w:cs="Times New Roman"/>
          <w:sz w:val="32"/>
          <w:szCs w:val="32"/>
        </w:rPr>
        <w:t xml:space="preserve"> 计分卡</w:t>
      </w:r>
    </w:p>
    <w:p>
      <w:pPr>
        <w:jc w:val="left"/>
        <w:outlineLvl w:val="3"/>
        <w:rPr>
          <w:rFonts w:ascii="Times New Roman" w:hAnsi="Times New Roman" w:eastAsia="仿宋_GB2312" w:cs="Times New Roman"/>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4337"/>
        <w:gridCol w:w="973"/>
        <w:gridCol w:w="14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4298"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指标</w:t>
            </w:r>
          </w:p>
        </w:tc>
        <w:tc>
          <w:tcPr>
            <w:tcW w:w="964"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单位</w:t>
            </w:r>
          </w:p>
        </w:tc>
        <w:tc>
          <w:tcPr>
            <w:tcW w:w="1474"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2022年</w:t>
            </w:r>
          </w:p>
        </w:tc>
        <w:tc>
          <w:tcPr>
            <w:tcW w:w="982" w:type="dxa"/>
            <w:vAlign w:val="center"/>
          </w:tcPr>
          <w:p>
            <w:pPr>
              <w:jc w:val="center"/>
              <w:outlineLvl w:val="1"/>
              <w:rPr>
                <w:rFonts w:ascii="Times New Roman" w:hAnsi="Times New Roman" w:eastAsia="黑体" w:cs="Times New Roman"/>
                <w:sz w:val="24"/>
                <w:szCs w:val="24"/>
              </w:rPr>
            </w:pPr>
            <w:r>
              <w:rPr>
                <w:rFonts w:hint="eastAsia"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Align w:val="center"/>
          </w:tcPr>
          <w:p>
            <w:pPr>
              <w:jc w:val="center"/>
              <w:outlineLvl w:val="1"/>
              <w:rPr>
                <w:rFonts w:ascii="Times New Roman" w:hAnsi="Times New Roman" w:eastAsia="黑体" w:cs="Times New Roman"/>
                <w:sz w:val="24"/>
                <w:szCs w:val="24"/>
              </w:rPr>
            </w:pPr>
            <w:r>
              <w:rPr>
                <w:rFonts w:hint="eastAsia" w:ascii="Times New Roman" w:hAnsi="Times New Roman" w:eastAsia="黑体" w:cs="Times New Roman"/>
                <w:sz w:val="24"/>
                <w:szCs w:val="24"/>
              </w:rPr>
              <w:t>1</w:t>
            </w:r>
          </w:p>
        </w:tc>
        <w:tc>
          <w:tcPr>
            <w:tcW w:w="4298" w:type="dxa"/>
            <w:vAlign w:val="center"/>
          </w:tcPr>
          <w:p>
            <w:pPr>
              <w:widowControl/>
              <w:jc w:val="left"/>
              <w:textAlignment w:val="center"/>
              <w:rPr>
                <w:rFonts w:ascii="Times New Roman" w:hAnsi="Times New Roman" w:eastAsia="黑体" w:cs="Times New Roman"/>
                <w:sz w:val="24"/>
                <w:szCs w:val="24"/>
              </w:rPr>
            </w:pPr>
            <w:r>
              <w:rPr>
                <w:rFonts w:hint="eastAsia" w:ascii="Times New Roman" w:hAnsi="Times New Roman" w:eastAsia="仿宋_GB2312" w:cs="Times New Roman"/>
                <w:color w:val="000000"/>
                <w:kern w:val="0"/>
                <w:sz w:val="24"/>
                <w:szCs w:val="24"/>
                <w:lang w:bidi="ar"/>
              </w:rPr>
              <w:t>毕业生人数</w:t>
            </w:r>
          </w:p>
        </w:tc>
        <w:tc>
          <w:tcPr>
            <w:tcW w:w="964"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人</w:t>
            </w:r>
          </w:p>
        </w:tc>
        <w:tc>
          <w:tcPr>
            <w:tcW w:w="1474"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jc w:val="center"/>
              <w:outlineLvl w:val="1"/>
              <w:rPr>
                <w:rFonts w:ascii="Times New Roman" w:hAnsi="Times New Roman" w:eastAsia="黑体" w:cs="Times New Roman"/>
                <w:sz w:val="24"/>
                <w:szCs w:val="24"/>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298" w:type="dxa"/>
            <w:vAlign w:val="center"/>
          </w:tcPr>
          <w:p>
            <w:pPr>
              <w:widowControl/>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毕业去向落实</w:t>
            </w:r>
            <w:r>
              <w:rPr>
                <w:rFonts w:hint="eastAsia" w:ascii="Times New Roman" w:hAnsi="Times New Roman" w:eastAsia="仿宋_GB2312" w:cs="Times New Roman"/>
                <w:color w:val="000000"/>
                <w:kern w:val="0"/>
                <w:sz w:val="24"/>
                <w:szCs w:val="24"/>
                <w:lang w:bidi="ar"/>
              </w:rPr>
              <w:t>人数</w:t>
            </w:r>
          </w:p>
        </w:tc>
        <w:tc>
          <w:tcPr>
            <w:tcW w:w="964"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w:t>
            </w:r>
          </w:p>
        </w:tc>
        <w:tc>
          <w:tcPr>
            <w:tcW w:w="1474"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Merge w:val="continue"/>
            <w:vAlign w:val="center"/>
          </w:tcPr>
          <w:p>
            <w:pPr>
              <w:jc w:val="center"/>
              <w:outlineLvl w:val="1"/>
              <w:rPr>
                <w:rFonts w:ascii="Times New Roman" w:hAnsi="Times New Roman" w:eastAsia="仿宋_GB2312" w:cs="Times New Roman"/>
                <w:sz w:val="24"/>
                <w:szCs w:val="24"/>
              </w:rPr>
            </w:pPr>
          </w:p>
        </w:tc>
        <w:tc>
          <w:tcPr>
            <w:tcW w:w="4298"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其中：</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毕业生升学人数</w:t>
            </w:r>
          </w:p>
        </w:tc>
        <w:tc>
          <w:tcPr>
            <w:tcW w:w="964"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w:t>
            </w:r>
          </w:p>
        </w:tc>
        <w:tc>
          <w:tcPr>
            <w:tcW w:w="1474"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298" w:type="dxa"/>
            <w:vAlign w:val="center"/>
          </w:tcPr>
          <w:p>
            <w:pPr>
              <w:widowControl/>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毕业生本省</w:t>
            </w:r>
            <w:r>
              <w:rPr>
                <w:rFonts w:hint="eastAsia" w:ascii="Times New Roman" w:hAnsi="Times New Roman" w:eastAsia="仿宋_GB2312" w:cs="Times New Roman"/>
                <w:color w:val="000000"/>
                <w:kern w:val="0"/>
                <w:sz w:val="24"/>
                <w:szCs w:val="24"/>
                <w:lang w:bidi="ar"/>
              </w:rPr>
              <w:t>去向落实率</w:t>
            </w:r>
          </w:p>
        </w:tc>
        <w:tc>
          <w:tcPr>
            <w:tcW w:w="964"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w:t>
            </w:r>
          </w:p>
        </w:tc>
        <w:tc>
          <w:tcPr>
            <w:tcW w:w="1474"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98" w:type="dxa"/>
            <w:vAlign w:val="center"/>
          </w:tcPr>
          <w:p>
            <w:pPr>
              <w:widowControl/>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月收入</w:t>
            </w:r>
          </w:p>
        </w:tc>
        <w:tc>
          <w:tcPr>
            <w:tcW w:w="964"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元</w:t>
            </w:r>
          </w:p>
        </w:tc>
        <w:tc>
          <w:tcPr>
            <w:tcW w:w="1474"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98"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毕业生面向三次产业就业人数</w:t>
            </w:r>
          </w:p>
        </w:tc>
        <w:tc>
          <w:tcPr>
            <w:tcW w:w="964" w:type="dxa"/>
            <w:vAlign w:val="center"/>
          </w:tcPr>
          <w:p>
            <w:pPr>
              <w:widowControl/>
              <w:snapToGrid w:val="0"/>
              <w:spacing w:line="288"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人</w:t>
            </w:r>
          </w:p>
        </w:tc>
        <w:tc>
          <w:tcPr>
            <w:tcW w:w="1474"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Merge w:val="continue"/>
            <w:vAlign w:val="center"/>
          </w:tcPr>
          <w:p>
            <w:pPr>
              <w:jc w:val="center"/>
              <w:outlineLvl w:val="1"/>
              <w:rPr>
                <w:rFonts w:ascii="Times New Roman" w:hAnsi="Times New Roman" w:eastAsia="仿宋_GB2312" w:cs="Times New Roman"/>
                <w:sz w:val="24"/>
                <w:szCs w:val="24"/>
              </w:rPr>
            </w:pPr>
          </w:p>
        </w:tc>
        <w:tc>
          <w:tcPr>
            <w:tcW w:w="4298" w:type="dxa"/>
            <w:vAlign w:val="center"/>
          </w:tcPr>
          <w:p>
            <w:pPr>
              <w:widowControl/>
              <w:spacing w:line="288"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其中：面向第一产业</w:t>
            </w:r>
          </w:p>
        </w:tc>
        <w:tc>
          <w:tcPr>
            <w:tcW w:w="964" w:type="dxa"/>
            <w:vAlign w:val="center"/>
          </w:tcPr>
          <w:p>
            <w:pPr>
              <w:widowControl/>
              <w:snapToGrid w:val="0"/>
              <w:spacing w:line="288"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人</w:t>
            </w:r>
          </w:p>
        </w:tc>
        <w:tc>
          <w:tcPr>
            <w:tcW w:w="1474"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Merge w:val="continue"/>
            <w:vAlign w:val="center"/>
          </w:tcPr>
          <w:p>
            <w:pPr>
              <w:jc w:val="center"/>
              <w:outlineLvl w:val="1"/>
              <w:rPr>
                <w:rFonts w:ascii="Times New Roman" w:hAnsi="Times New Roman" w:eastAsia="仿宋_GB2312" w:cs="Times New Roman"/>
                <w:sz w:val="24"/>
                <w:szCs w:val="24"/>
              </w:rPr>
            </w:pPr>
          </w:p>
        </w:tc>
        <w:tc>
          <w:tcPr>
            <w:tcW w:w="4298" w:type="dxa"/>
            <w:vAlign w:val="center"/>
          </w:tcPr>
          <w:p>
            <w:pPr>
              <w:widowControl/>
              <w:spacing w:line="288" w:lineRule="auto"/>
              <w:ind w:firstLine="720" w:firstLineChars="30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面向第二产业</w:t>
            </w:r>
          </w:p>
        </w:tc>
        <w:tc>
          <w:tcPr>
            <w:tcW w:w="964" w:type="dxa"/>
            <w:vAlign w:val="center"/>
          </w:tcPr>
          <w:p>
            <w:pPr>
              <w:widowControl/>
              <w:snapToGrid w:val="0"/>
              <w:spacing w:line="288"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人</w:t>
            </w:r>
          </w:p>
        </w:tc>
        <w:tc>
          <w:tcPr>
            <w:tcW w:w="1474"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Merge w:val="continue"/>
            <w:vAlign w:val="center"/>
          </w:tcPr>
          <w:p>
            <w:pPr>
              <w:jc w:val="center"/>
              <w:outlineLvl w:val="1"/>
              <w:rPr>
                <w:rFonts w:ascii="Times New Roman" w:hAnsi="Times New Roman" w:eastAsia="仿宋_GB2312" w:cs="Times New Roman"/>
                <w:sz w:val="24"/>
                <w:szCs w:val="24"/>
              </w:rPr>
            </w:pPr>
          </w:p>
        </w:tc>
        <w:tc>
          <w:tcPr>
            <w:tcW w:w="4298" w:type="dxa"/>
            <w:vAlign w:val="center"/>
          </w:tcPr>
          <w:p>
            <w:pPr>
              <w:widowControl/>
              <w:spacing w:line="288" w:lineRule="auto"/>
              <w:ind w:firstLine="720" w:firstLineChars="30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面向第三产业</w:t>
            </w:r>
          </w:p>
        </w:tc>
        <w:tc>
          <w:tcPr>
            <w:tcW w:w="964" w:type="dxa"/>
            <w:vAlign w:val="center"/>
          </w:tcPr>
          <w:p>
            <w:pPr>
              <w:widowControl/>
              <w:snapToGrid w:val="0"/>
              <w:spacing w:line="288"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人</w:t>
            </w:r>
          </w:p>
        </w:tc>
        <w:tc>
          <w:tcPr>
            <w:tcW w:w="1474"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4298" w:type="dxa"/>
            <w:vAlign w:val="center"/>
          </w:tcPr>
          <w:p>
            <w:pPr>
              <w:widowControl/>
              <w:snapToGrid w:val="0"/>
              <w:rPr>
                <w:rFonts w:ascii="Times New Roman" w:hAnsi="Times New Roman" w:eastAsia="仿宋_GB2312"/>
                <w:kern w:val="0"/>
                <w:sz w:val="24"/>
                <w:szCs w:val="24"/>
              </w:rPr>
            </w:pPr>
            <w:r>
              <w:rPr>
                <w:rFonts w:ascii="Times New Roman" w:hAnsi="Times New Roman" w:eastAsia="仿宋_GB2312"/>
                <w:kern w:val="0"/>
                <w:sz w:val="24"/>
                <w:szCs w:val="24"/>
              </w:rPr>
              <w:t>自主创业</w:t>
            </w:r>
            <w:r>
              <w:rPr>
                <w:rFonts w:hint="eastAsia" w:ascii="Times New Roman" w:hAnsi="Times New Roman" w:eastAsia="仿宋_GB2312"/>
                <w:kern w:val="0"/>
                <w:sz w:val="24"/>
                <w:szCs w:val="24"/>
              </w:rPr>
              <w:t>率</w:t>
            </w:r>
          </w:p>
        </w:tc>
        <w:tc>
          <w:tcPr>
            <w:tcW w:w="964" w:type="dxa"/>
            <w:vAlign w:val="center"/>
          </w:tcPr>
          <w:p>
            <w:pPr>
              <w:widowControl/>
              <w:jc w:val="center"/>
              <w:outlineLvl w:val="2"/>
              <w:rPr>
                <w:rFonts w:ascii="Times New Roman" w:hAnsi="Times New Roman" w:eastAsia="方正小标宋简体" w:cs="Times New Roman"/>
                <w:sz w:val="32"/>
                <w:szCs w:val="32"/>
              </w:rPr>
            </w:pPr>
            <w:r>
              <w:rPr>
                <w:rFonts w:hint="eastAsia" w:ascii="Times New Roman" w:hAnsi="Times New Roman" w:eastAsia="仿宋_GB2312"/>
                <w:kern w:val="0"/>
                <w:sz w:val="24"/>
                <w:szCs w:val="24"/>
              </w:rPr>
              <w:t>%</w:t>
            </w:r>
          </w:p>
        </w:tc>
        <w:tc>
          <w:tcPr>
            <w:tcW w:w="1474"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outlineLvl w:val="2"/>
              <w:rPr>
                <w:rFonts w:ascii="Times New Roman" w:hAnsi="Times New Roman" w:eastAsia="方正小标宋简体" w:cs="Times New Roman"/>
                <w:sz w:val="32"/>
                <w:szCs w:val="32"/>
              </w:rPr>
            </w:pPr>
            <w:r>
              <w:rPr>
                <w:rFonts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9"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4298" w:type="dxa"/>
            <w:vAlign w:val="center"/>
          </w:tcPr>
          <w:p>
            <w:pPr>
              <w:widowControl/>
              <w:snapToGrid w:val="0"/>
              <w:rPr>
                <w:rFonts w:ascii="Times New Roman" w:hAnsi="Times New Roman" w:eastAsia="仿宋_GB2312"/>
                <w:kern w:val="0"/>
                <w:sz w:val="24"/>
                <w:szCs w:val="24"/>
              </w:rPr>
            </w:pPr>
            <w:r>
              <w:rPr>
                <w:rFonts w:ascii="Times New Roman" w:hAnsi="Times New Roman" w:eastAsia="仿宋_GB2312"/>
                <w:kern w:val="0"/>
                <w:sz w:val="24"/>
                <w:szCs w:val="24"/>
              </w:rPr>
              <w:t>毕业三年晋升</w:t>
            </w:r>
            <w:r>
              <w:rPr>
                <w:rFonts w:hint="eastAsia" w:ascii="Times New Roman" w:hAnsi="Times New Roman" w:eastAsia="仿宋_GB2312"/>
                <w:kern w:val="0"/>
                <w:sz w:val="24"/>
                <w:szCs w:val="24"/>
              </w:rPr>
              <w:t>比例</w:t>
            </w:r>
          </w:p>
        </w:tc>
        <w:tc>
          <w:tcPr>
            <w:tcW w:w="964" w:type="dxa"/>
            <w:vAlign w:val="center"/>
          </w:tcPr>
          <w:p>
            <w:pPr>
              <w:widowControl/>
              <w:jc w:val="center"/>
              <w:outlineLvl w:val="2"/>
              <w:rPr>
                <w:rFonts w:ascii="Times New Roman" w:hAnsi="Times New Roman" w:eastAsia="方正小标宋简体" w:cs="Times New Roman"/>
                <w:sz w:val="32"/>
                <w:szCs w:val="32"/>
              </w:rPr>
            </w:pPr>
            <w:r>
              <w:rPr>
                <w:rFonts w:hint="eastAsia" w:ascii="Times New Roman" w:hAnsi="Times New Roman" w:eastAsia="仿宋_GB2312"/>
                <w:kern w:val="0"/>
                <w:sz w:val="24"/>
                <w:szCs w:val="24"/>
              </w:rPr>
              <w:t>%</w:t>
            </w:r>
          </w:p>
        </w:tc>
        <w:tc>
          <w:tcPr>
            <w:tcW w:w="1474"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outlineLvl w:val="2"/>
              <w:rPr>
                <w:rFonts w:ascii="Times New Roman" w:hAnsi="Times New Roman" w:eastAsia="方正小标宋简体" w:cs="Times New Roman"/>
                <w:sz w:val="32"/>
                <w:szCs w:val="32"/>
              </w:rPr>
            </w:pPr>
            <w:r>
              <w:rPr>
                <w:rFonts w:ascii="Times New Roman" w:hAnsi="Times New Roman" w:eastAsia="仿宋_GB2312" w:cs="Times New Roman"/>
                <w:color w:val="000000"/>
                <w:kern w:val="0"/>
                <w:sz w:val="18"/>
                <w:szCs w:val="18"/>
                <w:lang w:bidi="ar"/>
              </w:rPr>
              <w:t>学校填报</w:t>
            </w:r>
          </w:p>
        </w:tc>
      </w:tr>
    </w:tbl>
    <w:p>
      <w:pPr>
        <w:widowControl/>
        <w:numPr>
          <w:ilvl w:val="0"/>
          <w:numId w:val="4"/>
        </w:numPr>
        <w:ind w:firstLine="643" w:firstLineChars="200"/>
        <w:outlineLvl w:val="5"/>
        <w:rPr>
          <w:rFonts w:ascii="Times New Roman" w:hAnsi="Times New Roman" w:eastAsia="仿宋_GB2312"/>
          <w:sz w:val="32"/>
          <w:szCs w:val="32"/>
          <w:lang w:bidi="ar"/>
        </w:rPr>
      </w:pPr>
      <w:r>
        <w:rPr>
          <w:rFonts w:hint="eastAsia" w:ascii="Times New Roman" w:hAnsi="Times New Roman" w:eastAsia="仿宋_GB2312"/>
          <w:b/>
          <w:bCs/>
          <w:sz w:val="32"/>
          <w:szCs w:val="32"/>
          <w:lang w:bidi="ar"/>
        </w:rPr>
        <w:t>毕业生人数：</w:t>
      </w:r>
      <w:r>
        <w:rPr>
          <w:rFonts w:hint="eastAsia" w:ascii="Times New Roman" w:hAnsi="Times New Roman" w:eastAsia="仿宋_GB2312"/>
          <w:sz w:val="32"/>
          <w:szCs w:val="32"/>
          <w:lang w:bidi="ar"/>
        </w:rPr>
        <w:t>指当年学校具有学籍的学生完成教学计划规定课程，考试合格，取得毕业证书的学生总数。</w:t>
      </w:r>
    </w:p>
    <w:p>
      <w:pPr>
        <w:widowControl/>
        <w:numPr>
          <w:ilvl w:val="0"/>
          <w:numId w:val="4"/>
        </w:numPr>
        <w:ind w:firstLine="643" w:firstLineChars="200"/>
        <w:outlineLvl w:val="5"/>
        <w:rPr>
          <w:rFonts w:ascii="Times New Roman" w:hAnsi="Times New Roman" w:eastAsia="仿宋_GB2312"/>
          <w:sz w:val="32"/>
          <w:szCs w:val="32"/>
        </w:rPr>
      </w:pPr>
      <w:r>
        <w:rPr>
          <w:rFonts w:hint="eastAsia" w:ascii="Times New Roman" w:hAnsi="Times New Roman" w:eastAsia="仿宋_GB2312"/>
          <w:b/>
          <w:bCs/>
          <w:sz w:val="32"/>
          <w:szCs w:val="32"/>
        </w:rPr>
        <w:t>毕业</w:t>
      </w:r>
      <w:r>
        <w:rPr>
          <w:rFonts w:hint="eastAsia" w:ascii="Times New Roman" w:hAnsi="Times New Roman" w:eastAsia="仿宋_GB2312"/>
          <w:b/>
          <w:bCs/>
          <w:sz w:val="32"/>
          <w:szCs w:val="32"/>
          <w:lang w:bidi="ar"/>
        </w:rPr>
        <w:t>生</w:t>
      </w:r>
      <w:r>
        <w:rPr>
          <w:rFonts w:hint="eastAsia" w:ascii="Times New Roman" w:hAnsi="Times New Roman" w:eastAsia="仿宋_GB2312"/>
          <w:b/>
          <w:bCs/>
          <w:sz w:val="32"/>
          <w:szCs w:val="32"/>
        </w:rPr>
        <w:t>去向落实人数：</w:t>
      </w:r>
      <w:r>
        <w:rPr>
          <w:rFonts w:hint="eastAsia" w:ascii="Times New Roman" w:hAnsi="Times New Roman" w:eastAsia="仿宋_GB2312"/>
          <w:sz w:val="32"/>
          <w:szCs w:val="32"/>
        </w:rPr>
        <w:t>指已落实就业去向</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应届毕业生人数。根据《教育部办公厅关于进一步做好普通高校毕业生就业统计与核查工作的通知》（教学厅函〔2021〕19 号）文件要求，“就业率”变更为“毕业去向落实率”。落实就业去向毕业生包括签订就业协议就业、自主创业、灵活就业、参军、出国劳务和升学毕业生。</w:t>
      </w:r>
      <w:r>
        <w:rPr>
          <w:rFonts w:ascii="Times New Roman" w:hAnsi="Times New Roman" w:eastAsia="仿宋_GB2312" w:cs="Times New Roman"/>
          <w:b/>
          <w:bCs/>
          <w:sz w:val="32"/>
          <w:szCs w:val="32"/>
        </w:rPr>
        <w:t>毕业</w:t>
      </w:r>
      <w:r>
        <w:rPr>
          <w:rFonts w:hint="eastAsia" w:ascii="Times New Roman" w:hAnsi="Times New Roman" w:eastAsia="仿宋_GB2312" w:cs="Times New Roman"/>
          <w:b/>
          <w:bCs/>
          <w:sz w:val="32"/>
          <w:szCs w:val="32"/>
        </w:rPr>
        <w:t>生升学人数</w:t>
      </w:r>
      <w:r>
        <w:rPr>
          <w:rFonts w:hint="eastAsia" w:ascii="Times New Roman" w:hAnsi="Times New Roman" w:eastAsia="仿宋_GB2312"/>
          <w:sz w:val="32"/>
          <w:szCs w:val="32"/>
        </w:rPr>
        <w:t>为毕业生通过3+2分段培养、专升本选拔考试、出国升学、考研等渠道继续升学的人数。统计截止时间为2022年12月31日。</w:t>
      </w:r>
    </w:p>
    <w:p>
      <w:pPr>
        <w:widowControl/>
        <w:numPr>
          <w:ilvl w:val="0"/>
          <w:numId w:val="4"/>
        </w:numPr>
        <w:ind w:firstLine="643" w:firstLineChars="200"/>
        <w:outlineLvl w:val="5"/>
        <w:rPr>
          <w:rFonts w:ascii="Times New Roman" w:hAnsi="Times New Roman" w:eastAsia="仿宋_GB2312"/>
          <w:b/>
          <w:bCs/>
          <w:sz w:val="32"/>
          <w:szCs w:val="32"/>
        </w:rPr>
      </w:pPr>
      <w:r>
        <w:rPr>
          <w:rFonts w:hint="eastAsia" w:ascii="Times New Roman" w:hAnsi="Times New Roman" w:eastAsia="仿宋_GB2312"/>
          <w:b/>
          <w:bCs/>
          <w:sz w:val="32"/>
          <w:szCs w:val="32"/>
        </w:rPr>
        <w:t>毕业生本省去向落实率：</w:t>
      </w:r>
      <w:r>
        <w:rPr>
          <w:rFonts w:hint="eastAsia" w:ascii="Times New Roman" w:hAnsi="Times New Roman" w:eastAsia="仿宋_GB2312"/>
          <w:sz w:val="32"/>
          <w:szCs w:val="32"/>
        </w:rPr>
        <w:t>指在本省落实就业去向毕业生人数/毕业生人数</w:t>
      </w:r>
      <w:r>
        <w:rPr>
          <w:rFonts w:ascii="Times New Roman" w:hAnsi="Times New Roman" w:eastAsia="仿宋_GB2312"/>
          <w:sz w:val="32"/>
          <w:szCs w:val="32"/>
        </w:rPr>
        <w:t>×</w:t>
      </w:r>
      <w:r>
        <w:rPr>
          <w:rFonts w:hint="eastAsia" w:ascii="Times New Roman" w:hAnsi="Times New Roman" w:eastAsia="仿宋_GB2312"/>
          <w:sz w:val="32"/>
          <w:szCs w:val="32"/>
        </w:rPr>
        <w:t>100%。统计截止时间为2022年12月31日。</w:t>
      </w:r>
    </w:p>
    <w:p>
      <w:pPr>
        <w:widowControl/>
        <w:numPr>
          <w:ilvl w:val="0"/>
          <w:numId w:val="4"/>
        </w:numPr>
        <w:ind w:firstLine="643" w:firstLineChars="200"/>
        <w:outlineLvl w:val="5"/>
        <w:rPr>
          <w:rFonts w:ascii="Times New Roman" w:hAnsi="Times New Roman" w:eastAsia="仿宋_GB2312" w:cs="Times New Roman"/>
          <w:sz w:val="32"/>
          <w:szCs w:val="32"/>
        </w:rPr>
      </w:pPr>
      <w:r>
        <w:rPr>
          <w:rFonts w:hint="eastAsia" w:ascii="Times New Roman" w:hAnsi="Times New Roman" w:eastAsia="仿宋_GB2312"/>
          <w:b/>
          <w:bCs/>
          <w:sz w:val="32"/>
          <w:szCs w:val="32"/>
        </w:rPr>
        <w:t>月收入</w:t>
      </w:r>
      <w:r>
        <w:rPr>
          <w:rFonts w:hint="eastAsia" w:ascii="Times New Roman" w:hAnsi="Times New Roman" w:eastAsia="仿宋_GB2312"/>
          <w:sz w:val="32"/>
          <w:szCs w:val="32"/>
        </w:rPr>
        <w:t>：指应届毕业生月收入平均水平，包含奖金、提成、住宿、住房公积金等折算成的现金总和。统计截止时间为2022年12月31日。</w:t>
      </w:r>
    </w:p>
    <w:p>
      <w:pPr>
        <w:widowControl/>
        <w:numPr>
          <w:ilvl w:val="0"/>
          <w:numId w:val="4"/>
        </w:numPr>
        <w:ind w:firstLine="643" w:firstLineChars="200"/>
        <w:outlineLvl w:val="5"/>
        <w:rPr>
          <w:rFonts w:ascii="Times New Roman" w:hAnsi="Times New Roman" w:eastAsia="仿宋_GB2312" w:cs="Times New Roman"/>
          <w:sz w:val="32"/>
          <w:szCs w:val="32"/>
        </w:rPr>
      </w:pPr>
      <w:r>
        <w:rPr>
          <w:rFonts w:hint="eastAsia" w:ascii="Times New Roman" w:hAnsi="Times New Roman" w:eastAsia="仿宋_GB2312"/>
          <w:b/>
          <w:bCs/>
          <w:sz w:val="32"/>
          <w:szCs w:val="32"/>
        </w:rPr>
        <w:t>毕业生面向三次产业就业人数</w:t>
      </w:r>
      <w:r>
        <w:rPr>
          <w:rFonts w:hint="eastAsia" w:ascii="Times New Roman" w:hAnsi="Times New Roman" w:eastAsia="仿宋_GB2312" w:cs="Times New Roman"/>
          <w:sz w:val="32"/>
          <w:szCs w:val="32"/>
        </w:rPr>
        <w:t>：指应届毕业生就业去向为第一、第二、第三产业的人数。</w:t>
      </w:r>
      <w:r>
        <w:rPr>
          <w:rFonts w:hint="eastAsia" w:ascii="Times New Roman" w:hAnsi="Times New Roman" w:eastAsia="仿宋_GB2312"/>
          <w:sz w:val="32"/>
          <w:szCs w:val="32"/>
        </w:rPr>
        <w:t>统计截止时间为2022年12月31日。</w:t>
      </w:r>
    </w:p>
    <w:p>
      <w:pPr>
        <w:widowControl/>
        <w:numPr>
          <w:ilvl w:val="0"/>
          <w:numId w:val="4"/>
        </w:numPr>
        <w:ind w:firstLine="643" w:firstLineChars="200"/>
        <w:outlineLvl w:val="5"/>
        <w:rPr>
          <w:rFonts w:ascii="Times New Roman" w:hAnsi="Times New Roman" w:eastAsia="仿宋_GB2312"/>
          <w:b/>
          <w:bCs/>
          <w:sz w:val="32"/>
          <w:szCs w:val="32"/>
        </w:rPr>
      </w:pPr>
      <w:r>
        <w:rPr>
          <w:rFonts w:ascii="Times New Roman" w:hAnsi="Times New Roman" w:eastAsia="仿宋_GB2312"/>
          <w:b/>
          <w:bCs/>
          <w:sz w:val="32"/>
          <w:szCs w:val="32"/>
        </w:rPr>
        <w:t>自主创业</w:t>
      </w:r>
      <w:r>
        <w:rPr>
          <w:rFonts w:hint="eastAsia" w:ascii="Times New Roman" w:hAnsi="Times New Roman" w:eastAsia="仿宋_GB2312"/>
          <w:b/>
          <w:bCs/>
          <w:sz w:val="32"/>
          <w:szCs w:val="32"/>
        </w:rPr>
        <w:t>率：</w:t>
      </w:r>
      <w:r>
        <w:rPr>
          <w:rFonts w:hint="eastAsia" w:ascii="Times New Roman" w:hAnsi="Times New Roman" w:eastAsia="仿宋_GB2312" w:cs="Times New Roman"/>
          <w:sz w:val="32"/>
          <w:szCs w:val="32"/>
        </w:rPr>
        <w:t>指应届毕业生创业人数</w:t>
      </w:r>
      <w:r>
        <w:rPr>
          <w:rFonts w:hint="eastAsia" w:ascii="Times New Roman" w:hAnsi="Times New Roman" w:eastAsia="仿宋_GB2312"/>
          <w:sz w:val="32"/>
          <w:szCs w:val="32"/>
        </w:rPr>
        <w:t>/毕业生人数</w:t>
      </w:r>
      <w:r>
        <w:rPr>
          <w:rFonts w:ascii="Times New Roman" w:hAnsi="Times New Roman" w:eastAsia="仿宋_GB2312"/>
          <w:sz w:val="32"/>
          <w:szCs w:val="32"/>
        </w:rPr>
        <w:t>×</w:t>
      </w:r>
      <w:r>
        <w:rPr>
          <w:rFonts w:hint="eastAsia" w:ascii="Times New Roman" w:hAnsi="Times New Roman" w:eastAsia="仿宋_GB2312"/>
          <w:sz w:val="32"/>
          <w:szCs w:val="32"/>
        </w:rPr>
        <w:t>100%</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统计截止时间为2022年12月31日。</w:t>
      </w:r>
    </w:p>
    <w:p>
      <w:pPr>
        <w:widowControl/>
        <w:numPr>
          <w:ilvl w:val="0"/>
          <w:numId w:val="4"/>
        </w:numPr>
        <w:ind w:firstLine="643" w:firstLineChars="200"/>
        <w:outlineLvl w:val="5"/>
        <w:rPr>
          <w:rFonts w:ascii="Times New Roman" w:hAnsi="Times New Roman" w:eastAsia="仿宋_GB2312"/>
          <w:sz w:val="32"/>
          <w:szCs w:val="32"/>
        </w:rPr>
      </w:pPr>
      <w:r>
        <w:rPr>
          <w:rFonts w:ascii="Times New Roman" w:hAnsi="Times New Roman" w:eastAsia="仿宋_GB2312" w:cs="Times New Roman"/>
          <w:b/>
          <w:bCs/>
          <w:sz w:val="32"/>
          <w:szCs w:val="32"/>
        </w:rPr>
        <w:t>毕业三年晋升</w:t>
      </w:r>
      <w:r>
        <w:rPr>
          <w:rFonts w:hint="eastAsia" w:ascii="Times New Roman" w:hAnsi="Times New Roman" w:eastAsia="仿宋_GB2312" w:cs="Times New Roman"/>
          <w:b/>
          <w:bCs/>
          <w:sz w:val="32"/>
          <w:szCs w:val="32"/>
        </w:rPr>
        <w:t>比例</w:t>
      </w:r>
      <w:r>
        <w:rPr>
          <w:rFonts w:ascii="Times New Roman" w:hAnsi="Times New Roman" w:eastAsia="仿宋_GB2312" w:cs="Times New Roman"/>
          <w:b/>
          <w:bCs/>
          <w:sz w:val="32"/>
          <w:szCs w:val="32"/>
        </w:rPr>
        <w:t>：</w:t>
      </w:r>
      <w:r>
        <w:rPr>
          <w:rFonts w:hint="eastAsia" w:ascii="Times New Roman" w:hAnsi="Times New Roman" w:eastAsia="仿宋_GB2312"/>
          <w:sz w:val="32"/>
          <w:szCs w:val="32"/>
        </w:rPr>
        <w:t>指本校2019届高职生（包括职教本科）毕业三年后有过职位晋升的比例。指毕业三年后有过职位晋升的本校2019届高职毕业生人数/本校2019届高职毕业生人数</w:t>
      </w:r>
      <w:r>
        <w:rPr>
          <w:rFonts w:ascii="Times New Roman" w:hAnsi="Times New Roman" w:eastAsia="仿宋_GB2312"/>
          <w:sz w:val="32"/>
          <w:szCs w:val="32"/>
        </w:rPr>
        <w:t>×</w:t>
      </w:r>
      <w:r>
        <w:rPr>
          <w:rFonts w:hint="eastAsia" w:ascii="Times New Roman" w:hAnsi="Times New Roman" w:eastAsia="仿宋_GB2312"/>
          <w:sz w:val="32"/>
          <w:szCs w:val="32"/>
        </w:rPr>
        <w:t>100%。职位晋升形式可包含职级的增加、管理权限的扩大、专业职称的提升及由此带来的薪资提高。</w:t>
      </w:r>
    </w:p>
    <w:p>
      <w:pPr>
        <w:widowControl/>
        <w:ind w:firstLine="640" w:firstLineChars="200"/>
        <w:outlineLvl w:val="1"/>
        <w:rPr>
          <w:rFonts w:ascii="Times New Roman" w:hAnsi="Times New Roman" w:eastAsia="黑体" w:cs="Times New Roman"/>
          <w:sz w:val="32"/>
          <w:szCs w:val="32"/>
          <w:shd w:val="clear" w:color="auto" w:fill="FFFFFF"/>
        </w:rPr>
      </w:pPr>
      <w:r>
        <w:rPr>
          <w:rFonts w:hint="eastAsia" w:ascii="Times New Roman" w:hAnsi="Times New Roman" w:eastAsia="黑体" w:cs="Times New Roman"/>
          <w:sz w:val="32"/>
          <w:szCs w:val="32"/>
          <w:shd w:val="clear" w:color="auto" w:fill="FFFFFF"/>
        </w:rPr>
        <w:t>三、“</w:t>
      </w:r>
      <w:r>
        <w:rPr>
          <w:rFonts w:hint="eastAsia" w:ascii="黑体" w:hAnsi="黑体" w:eastAsia="黑体" w:cs="黑体"/>
          <w:sz w:val="32"/>
          <w:szCs w:val="32"/>
        </w:rPr>
        <w:t>满意度</w:t>
      </w:r>
      <w:r>
        <w:rPr>
          <w:rFonts w:hint="eastAsia" w:ascii="Times New Roman" w:hAnsi="Times New Roman" w:eastAsia="黑体" w:cs="Times New Roman"/>
          <w:sz w:val="32"/>
          <w:szCs w:val="32"/>
          <w:shd w:val="clear" w:color="auto" w:fill="FFFFFF"/>
        </w:rPr>
        <w:t>调查表”指标及相关内涵说明</w:t>
      </w:r>
    </w:p>
    <w:p>
      <w:pPr>
        <w:tabs>
          <w:tab w:val="left" w:pos="958"/>
          <w:tab w:val="left" w:pos="1078"/>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“满意度调查表”系通过对高等职业教育各利益相关者的调查与反馈来反映高等职业学校育人成效的评价管理工具，共采集指标5个，包括字段11个（表2）。</w:t>
      </w:r>
    </w:p>
    <w:p>
      <w:pPr>
        <w:tabs>
          <w:tab w:val="left" w:pos="958"/>
          <w:tab w:val="left" w:pos="1078"/>
        </w:tabs>
        <w:spacing w:line="580" w:lineRule="exact"/>
        <w:jc w:val="center"/>
        <w:outlineLvl w:val="4"/>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表2 满意度调查表</w:t>
      </w:r>
    </w:p>
    <w:p>
      <w:pPr>
        <w:jc w:val="left"/>
        <w:outlineLvl w:val="3"/>
        <w:rPr>
          <w:rFonts w:ascii="Times New Roman" w:hAnsi="Times New Roman" w:eastAsia="仿宋_GB2312" w:cs="Times New Roman"/>
          <w:sz w:val="28"/>
          <w:szCs w:val="28"/>
        </w:rPr>
      </w:pPr>
      <w:r>
        <w:rPr>
          <w:rFonts w:hint="eastAsia" w:ascii="仿宋_GB2312" w:hAnsi="仿宋_GB2312" w:eastAsia="仿宋_GB2312" w:cs="仿宋_GB2312"/>
          <w:sz w:val="28"/>
          <w:szCs w:val="28"/>
        </w:rPr>
        <w:t>名称：</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959"/>
        <w:gridCol w:w="707"/>
        <w:gridCol w:w="1227"/>
        <w:gridCol w:w="1359"/>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697"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序号</w:t>
            </w:r>
          </w:p>
        </w:tc>
        <w:tc>
          <w:tcPr>
            <w:tcW w:w="2959"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指标</w:t>
            </w:r>
          </w:p>
        </w:tc>
        <w:tc>
          <w:tcPr>
            <w:tcW w:w="707"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单位</w:t>
            </w:r>
          </w:p>
        </w:tc>
        <w:tc>
          <w:tcPr>
            <w:tcW w:w="1227"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2022年</w:t>
            </w:r>
          </w:p>
        </w:tc>
        <w:tc>
          <w:tcPr>
            <w:tcW w:w="1359"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调查人次</w:t>
            </w:r>
          </w:p>
        </w:tc>
        <w:tc>
          <w:tcPr>
            <w:tcW w:w="1571" w:type="dxa"/>
            <w:vAlign w:val="center"/>
          </w:tcPr>
          <w:p>
            <w:pPr>
              <w:jc w:val="center"/>
              <w:outlineLvl w:val="1"/>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调查方式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Merge w:val="restart"/>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1</w:t>
            </w:r>
          </w:p>
        </w:tc>
        <w:tc>
          <w:tcPr>
            <w:tcW w:w="2959"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在校生满意度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其中：课堂育人满意度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ind w:firstLine="720" w:firstLineChars="300"/>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课外育人满意度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ind w:left="718" w:leftChars="342"/>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思想政治课教学满意度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ind w:left="718" w:leftChars="342"/>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公共基础课（不含思想政治课）教学满意度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ind w:firstLine="720" w:firstLineChars="300"/>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专业课教学满意度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Merge w:val="restart"/>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2</w:t>
            </w:r>
          </w:p>
        </w:tc>
        <w:tc>
          <w:tcPr>
            <w:tcW w:w="2959" w:type="dxa"/>
            <w:vAlign w:val="center"/>
          </w:tcPr>
          <w:p>
            <w:pPr>
              <w:widowControl/>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毕业生满意度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w:t>
            </w:r>
          </w:p>
        </w:tc>
        <w:tc>
          <w:tcPr>
            <w:tcW w:w="1359"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ind w:left="720" w:hanging="720" w:hangingChars="300"/>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其中：应届毕业生满意度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7" w:type="dxa"/>
            <w:vMerge w:val="continue"/>
            <w:vAlign w:val="center"/>
          </w:tcPr>
          <w:p>
            <w:pPr>
              <w:widowControl/>
              <w:jc w:val="center"/>
              <w:textAlignment w:val="center"/>
              <w:rPr>
                <w:rFonts w:ascii="Times New Roman" w:hAnsi="Times New Roman" w:eastAsia="仿宋_GB2312" w:cs="Times New Roman"/>
                <w:color w:val="000000" w:themeColor="text1"/>
                <w:kern w:val="0"/>
                <w:sz w:val="22"/>
                <w:lang w:bidi="ar"/>
                <w14:textFill>
                  <w14:solidFill>
                    <w14:schemeClr w14:val="tx1"/>
                  </w14:solidFill>
                </w14:textFill>
              </w:rPr>
            </w:pPr>
          </w:p>
        </w:tc>
        <w:tc>
          <w:tcPr>
            <w:tcW w:w="2959" w:type="dxa"/>
            <w:vAlign w:val="center"/>
          </w:tcPr>
          <w:p>
            <w:pPr>
              <w:widowControl/>
              <w:ind w:left="718" w:leftChars="342"/>
              <w:textAlignment w:val="top"/>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毕业三年内毕业生满意度</w:t>
            </w:r>
          </w:p>
        </w:tc>
        <w:tc>
          <w:tcPr>
            <w:tcW w:w="707" w:type="dxa"/>
            <w:vAlign w:val="center"/>
          </w:tcPr>
          <w:p>
            <w:pPr>
              <w:jc w:val="center"/>
              <w:outlineLvl w:val="1"/>
              <w:rPr>
                <w:rFonts w:ascii="Times New Roman" w:hAnsi="Times New Roman" w:eastAsia="仿宋_GB2312" w:cs="Times New Roman"/>
                <w:color w:val="000000" w:themeColor="text1"/>
                <w:kern w:val="0"/>
                <w:sz w:val="22"/>
                <w:lang w:bidi="ar"/>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2"/>
                <w:lang w:bidi="ar"/>
                <w14:textFill>
                  <w14:solidFill>
                    <w14:schemeClr w14:val="tx1"/>
                  </w14:solidFill>
                </w14:textFill>
              </w:rPr>
              <w:t>3</w:t>
            </w:r>
          </w:p>
        </w:tc>
        <w:tc>
          <w:tcPr>
            <w:tcW w:w="2959"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教职工满意度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2959"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用人单位满意度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7"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2959" w:type="dxa"/>
            <w:vAlign w:val="center"/>
          </w:tcPr>
          <w:p>
            <w:pPr>
              <w:widowControl/>
              <w:textAlignment w:val="top"/>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家长满意度</w:t>
            </w:r>
          </w:p>
        </w:tc>
        <w:tc>
          <w:tcPr>
            <w:tcW w:w="70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2"/>
                <w:lang w:bidi="ar"/>
                <w14:textFill>
                  <w14:solidFill>
                    <w14:schemeClr w14:val="tx1"/>
                  </w14:solidFill>
                </w14:textFill>
              </w:rPr>
              <w:t>%</w:t>
            </w:r>
          </w:p>
        </w:tc>
        <w:tc>
          <w:tcPr>
            <w:tcW w:w="1227"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359"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c>
          <w:tcPr>
            <w:tcW w:w="1571" w:type="dxa"/>
            <w:vAlign w:val="center"/>
          </w:tcPr>
          <w:p>
            <w:pPr>
              <w:jc w:val="center"/>
              <w:outlineLvl w:val="1"/>
              <w:rPr>
                <w:rFonts w:ascii="Times New Roman" w:hAnsi="Times New Roman" w:eastAsia="仿宋_GB2312" w:cs="Times New Roman"/>
                <w:color w:val="000000" w:themeColor="text1"/>
                <w:sz w:val="24"/>
                <w:szCs w:val="24"/>
                <w14:textFill>
                  <w14:solidFill>
                    <w14:schemeClr w14:val="tx1"/>
                  </w14:solidFill>
                </w14:textFill>
              </w:rPr>
            </w:pPr>
          </w:p>
        </w:tc>
      </w:tr>
    </w:tbl>
    <w:p>
      <w:pPr>
        <w:numPr>
          <w:ilvl w:val="0"/>
          <w:numId w:val="5"/>
        </w:numPr>
        <w:tabs>
          <w:tab w:val="left" w:pos="958"/>
          <w:tab w:val="left" w:pos="1078"/>
        </w:tabs>
        <w:ind w:left="-11" w:firstLine="641"/>
        <w:rPr>
          <w:rFonts w:ascii="Times New Roman" w:hAnsi="Times New Roman" w:eastAsia="仿宋_GB2312" w:cs="Times New Roman"/>
          <w:sz w:val="32"/>
          <w:szCs w:val="32"/>
        </w:rPr>
      </w:pPr>
      <w:r>
        <w:rPr>
          <w:rFonts w:ascii="Times New Roman" w:hAnsi="Times New Roman" w:eastAsia="仿宋_GB2312" w:cs="Times New Roman"/>
          <w:b/>
          <w:bCs/>
          <w:sz w:val="32"/>
          <w:szCs w:val="32"/>
        </w:rPr>
        <w:t>在校生满意度</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在校一、二年级学生的满意度评价，包括对学校教学管理、学生管理、后勤服务、课堂育人、课外育人、思想政治课教学、公共基础课（不含思想政治课）教学、专业课教学等的满意度。学校可通过科学合理的方式对本校全日制在校生进行充分调查获取，需简要说明样本数量及调查方式。</w:t>
      </w:r>
    </w:p>
    <w:p>
      <w:pPr>
        <w:numPr>
          <w:ilvl w:val="0"/>
          <w:numId w:val="5"/>
        </w:numPr>
        <w:tabs>
          <w:tab w:val="left" w:pos="958"/>
          <w:tab w:val="left" w:pos="1078"/>
        </w:tabs>
        <w:ind w:left="-11" w:firstLine="641"/>
        <w:rPr>
          <w:rFonts w:ascii="Times New Roman" w:hAnsi="Times New Roman" w:eastAsia="仿宋_GB2312" w:cs="Times New Roman"/>
          <w:sz w:val="32"/>
          <w:szCs w:val="32"/>
        </w:rPr>
      </w:pPr>
      <w:r>
        <w:rPr>
          <w:rFonts w:ascii="Times New Roman" w:hAnsi="Times New Roman" w:eastAsia="仿宋_GB2312" w:cs="Times New Roman"/>
          <w:b/>
          <w:bCs/>
          <w:sz w:val="32"/>
          <w:szCs w:val="32"/>
        </w:rPr>
        <w:t>毕业生满意度</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指学校毕业生的满意度评价，包括应届毕业生和已毕业三年内毕业生。学校可通过科学合理的方式对本校毕业生进行充分调查获取，需简要说明样本数量及调查方式。</w:t>
      </w:r>
    </w:p>
    <w:p>
      <w:pPr>
        <w:numPr>
          <w:ilvl w:val="0"/>
          <w:numId w:val="5"/>
        </w:numPr>
        <w:tabs>
          <w:tab w:val="left" w:pos="958"/>
          <w:tab w:val="left" w:pos="1078"/>
        </w:tabs>
        <w:ind w:left="-11" w:firstLine="641"/>
        <w:rPr>
          <w:rFonts w:ascii="Times New Roman" w:hAnsi="Times New Roman" w:eastAsia="仿宋_GB2312" w:cs="Times New Roman"/>
          <w:sz w:val="32"/>
          <w:szCs w:val="32"/>
        </w:rPr>
      </w:pPr>
      <w:r>
        <w:rPr>
          <w:rFonts w:ascii="Times New Roman" w:hAnsi="Times New Roman" w:eastAsia="仿宋_GB2312" w:cs="Times New Roman"/>
          <w:b/>
          <w:bCs/>
          <w:sz w:val="32"/>
          <w:szCs w:val="32"/>
        </w:rPr>
        <w:t>教职工满意度</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指学校教职员工满意度评价。学校可通过科学合理的方式对本校教职员工进行充分调查获取，需简要说明样本数量及调查方式。</w:t>
      </w:r>
    </w:p>
    <w:p>
      <w:pPr>
        <w:numPr>
          <w:ilvl w:val="0"/>
          <w:numId w:val="5"/>
        </w:numPr>
        <w:tabs>
          <w:tab w:val="left" w:pos="958"/>
          <w:tab w:val="left" w:pos="1078"/>
        </w:tabs>
        <w:ind w:left="-11" w:firstLine="641"/>
        <w:rPr>
          <w:rFonts w:ascii="Times New Roman" w:hAnsi="Times New Roman" w:eastAsia="仿宋_GB2312" w:cs="Times New Roman"/>
          <w:sz w:val="32"/>
          <w:szCs w:val="32"/>
        </w:rPr>
      </w:pPr>
      <w:r>
        <w:rPr>
          <w:rFonts w:ascii="Times New Roman" w:hAnsi="Times New Roman" w:eastAsia="仿宋_GB2312" w:cs="Times New Roman"/>
          <w:b/>
          <w:bCs/>
          <w:sz w:val="32"/>
          <w:szCs w:val="32"/>
        </w:rPr>
        <w:t>用人单位满意度</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指录用应届毕业生的单位或部门对录用本校学生的满意度评价。学校可通过科学合理的方式对用人单位进行充分调查获取，需简要说明样本数量及调查方式。</w:t>
      </w:r>
    </w:p>
    <w:p>
      <w:pPr>
        <w:numPr>
          <w:ilvl w:val="0"/>
          <w:numId w:val="5"/>
        </w:numPr>
        <w:tabs>
          <w:tab w:val="left" w:pos="958"/>
          <w:tab w:val="left" w:pos="1078"/>
        </w:tabs>
        <w:ind w:left="-11" w:firstLine="641"/>
        <w:rPr>
          <w:rFonts w:ascii="Times New Roman" w:hAnsi="Times New Roman" w:eastAsia="仿宋_GB2312" w:cs="Times New Roman"/>
          <w:sz w:val="32"/>
          <w:szCs w:val="32"/>
        </w:rPr>
      </w:pPr>
      <w:r>
        <w:rPr>
          <w:rFonts w:ascii="Times New Roman" w:hAnsi="Times New Roman" w:eastAsia="仿宋_GB2312" w:cs="Times New Roman"/>
          <w:b/>
          <w:bCs/>
          <w:sz w:val="32"/>
          <w:szCs w:val="32"/>
        </w:rPr>
        <w:t>家长满意度</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指学生家长的满意度评价。学校可通过科学合理的方式对全日制在校生家长和毕业生家长进行充分调查获取，需简要说明样本数量及调查方式。</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四、“教学资源表”指标及相关内涵说明</w:t>
      </w:r>
    </w:p>
    <w:p>
      <w:pPr>
        <w:tabs>
          <w:tab w:val="left" w:pos="958"/>
          <w:tab w:val="left" w:pos="1078"/>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“教学资源表”系反映高等职业学校基本办学条件的管理评价工具，共采集指标</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个，包括字段</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rPr>
        <w:t>个（表3）。</w:t>
      </w:r>
    </w:p>
    <w:p>
      <w:pPr>
        <w:jc w:val="center"/>
        <w:outlineLvl w:val="2"/>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表3  教学资源表</w:t>
      </w:r>
    </w:p>
    <w:p>
      <w:pPr>
        <w:jc w:val="left"/>
        <w:outlineLvl w:val="3"/>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4458"/>
        <w:gridCol w:w="1145"/>
        <w:gridCol w:w="1331"/>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4458"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指标</w:t>
            </w:r>
          </w:p>
        </w:tc>
        <w:tc>
          <w:tcPr>
            <w:tcW w:w="1145"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单位</w:t>
            </w:r>
          </w:p>
        </w:tc>
        <w:tc>
          <w:tcPr>
            <w:tcW w:w="1331"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2022年</w:t>
            </w:r>
          </w:p>
        </w:tc>
        <w:tc>
          <w:tcPr>
            <w:tcW w:w="855" w:type="dxa"/>
            <w:vAlign w:val="center"/>
          </w:tcPr>
          <w:p>
            <w:pPr>
              <w:jc w:val="center"/>
              <w:outlineLvl w:val="1"/>
              <w:rPr>
                <w:rFonts w:ascii="Times New Roman" w:hAnsi="Times New Roman" w:eastAsia="黑体" w:cs="Times New Roman"/>
                <w:sz w:val="24"/>
                <w:szCs w:val="24"/>
              </w:rPr>
            </w:pPr>
            <w:r>
              <w:rPr>
                <w:rFonts w:hint="eastAsia"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58" w:type="dxa"/>
            <w:vAlign w:val="center"/>
          </w:tcPr>
          <w:p>
            <w:pPr>
              <w:widowControl/>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生师比</w:t>
            </w:r>
          </w:p>
        </w:tc>
        <w:tc>
          <w:tcPr>
            <w:tcW w:w="1145"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kern w:val="0"/>
                <w:sz w:val="24"/>
                <w:szCs w:val="24"/>
              </w:rPr>
              <w:t>：</w:t>
            </w:r>
          </w:p>
        </w:tc>
        <w:tc>
          <w:tcPr>
            <w:tcW w:w="1331"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855"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58" w:type="dxa"/>
            <w:vAlign w:val="center"/>
          </w:tcPr>
          <w:p>
            <w:pPr>
              <w:widowControl/>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双师素质专任教师比例</w:t>
            </w:r>
          </w:p>
        </w:tc>
        <w:tc>
          <w:tcPr>
            <w:tcW w:w="1145"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kern w:val="0"/>
                <w:sz w:val="24"/>
                <w:szCs w:val="24"/>
              </w:rPr>
              <w:t>%</w:t>
            </w:r>
          </w:p>
        </w:tc>
        <w:tc>
          <w:tcPr>
            <w:tcW w:w="1331"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855"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58" w:type="dxa"/>
            <w:vAlign w:val="center"/>
          </w:tcPr>
          <w:p>
            <w:pPr>
              <w:widowControl/>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高级专业技术职务专任教师比例</w:t>
            </w:r>
          </w:p>
        </w:tc>
        <w:tc>
          <w:tcPr>
            <w:tcW w:w="1145"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kern w:val="0"/>
                <w:sz w:val="24"/>
                <w:szCs w:val="24"/>
              </w:rPr>
              <w:t>%</w:t>
            </w:r>
          </w:p>
        </w:tc>
        <w:tc>
          <w:tcPr>
            <w:tcW w:w="1331"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855"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restart"/>
            <w:vAlign w:val="center"/>
          </w:tcPr>
          <w:p>
            <w:pPr>
              <w:jc w:val="center"/>
              <w:outlineLvl w:val="1"/>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c>
          <w:tcPr>
            <w:tcW w:w="4458" w:type="dxa"/>
            <w:vMerge w:val="restart"/>
            <w:vAlign w:val="center"/>
          </w:tcPr>
          <w:p>
            <w:pPr>
              <w:widowControl/>
              <w:textAlignment w:val="center"/>
              <w:rPr>
                <w:rFonts w:ascii="Times New Roman" w:hAnsi="Times New Roman" w:eastAsia="仿宋_GB2312" w:cstheme="minorBidi"/>
                <w:kern w:val="0"/>
                <w:sz w:val="24"/>
                <w:szCs w:val="24"/>
                <w:lang w:val="en-US" w:eastAsia="zh-CN" w:bidi="ar-SA"/>
              </w:rPr>
            </w:pPr>
            <w:r>
              <w:rPr>
                <w:rFonts w:hint="eastAsia" w:ascii="Times New Roman" w:hAnsi="Times New Roman" w:eastAsia="仿宋_GB2312" w:cs="Times New Roman"/>
                <w:color w:val="000000"/>
                <w:kern w:val="0"/>
                <w:sz w:val="24"/>
                <w:szCs w:val="24"/>
                <w:lang w:bidi="ar"/>
              </w:rPr>
              <w:t>教学计划内课程总数</w:t>
            </w:r>
          </w:p>
        </w:tc>
        <w:tc>
          <w:tcPr>
            <w:tcW w:w="1145" w:type="dxa"/>
            <w:vAlign w:val="center"/>
          </w:tcPr>
          <w:p>
            <w:pPr>
              <w:widowControl/>
              <w:adjustRightInd w:val="0"/>
              <w:snapToGrid w:val="0"/>
              <w:jc w:val="center"/>
              <w:rPr>
                <w:rFonts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rPr>
              <w:t>门</w:t>
            </w:r>
          </w:p>
        </w:tc>
        <w:tc>
          <w:tcPr>
            <w:tcW w:w="1331" w:type="dxa"/>
            <w:vAlign w:val="center"/>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4458" w:type="dxa"/>
            <w:vMerge w:val="continue"/>
            <w:vAlign w:val="center"/>
          </w:tcPr>
          <w:p>
            <w:pPr>
              <w:widowControl/>
              <w:textAlignment w:val="center"/>
              <w:rPr>
                <w:rFonts w:ascii="Times New Roman" w:hAnsi="Times New Roman" w:eastAsia="仿宋_GB2312" w:cs="Times New Roman"/>
                <w:color w:val="000000"/>
                <w:kern w:val="0"/>
                <w:sz w:val="24"/>
                <w:szCs w:val="24"/>
                <w:lang w:bidi="ar"/>
              </w:rPr>
            </w:pPr>
          </w:p>
        </w:tc>
        <w:tc>
          <w:tcPr>
            <w:tcW w:w="1145" w:type="dxa"/>
            <w:vAlign w:val="center"/>
          </w:tcPr>
          <w:p>
            <w:pPr>
              <w:widowControl/>
              <w:adjustRightInd w:val="0"/>
              <w:snapToGrid w:val="0"/>
              <w:jc w:val="center"/>
              <w:rPr>
                <w:rFonts w:ascii="Times New Roman" w:hAnsi="Times New Roman" w:eastAsia="仿宋_GB2312" w:cs="Times New Roman"/>
                <w:kern w:val="0"/>
                <w:sz w:val="24"/>
                <w:szCs w:val="24"/>
                <w:lang w:val="en-US" w:eastAsia="zh-CN" w:bidi="ar-SA"/>
              </w:rPr>
            </w:pPr>
            <w:r>
              <w:rPr>
                <w:rFonts w:ascii="Times New Roman" w:hAnsi="Times New Roman" w:eastAsia="仿宋_GB2312" w:cs="Times New Roman"/>
                <w:kern w:val="0"/>
                <w:sz w:val="24"/>
                <w:szCs w:val="24"/>
              </w:rPr>
              <w:t>学时</w:t>
            </w:r>
          </w:p>
        </w:tc>
        <w:tc>
          <w:tcPr>
            <w:tcW w:w="1331" w:type="dxa"/>
            <w:vAlign w:val="center"/>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4458" w:type="dxa"/>
            <w:vMerge w:val="restart"/>
            <w:vAlign w:val="center"/>
          </w:tcPr>
          <w:p>
            <w:pPr>
              <w:widowControl/>
              <w:textAlignment w:val="center"/>
              <w:rPr>
                <w:rFonts w:ascii="Times New Roman" w:hAnsi="Times New Roman" w:eastAsia="仿宋_GB2312" w:cstheme="minorBidi"/>
                <w:kern w:val="0"/>
                <w:sz w:val="24"/>
                <w:szCs w:val="24"/>
                <w:lang w:val="en-US" w:eastAsia="zh-CN" w:bidi="ar-SA"/>
              </w:rPr>
            </w:pPr>
            <w:r>
              <w:rPr>
                <w:rFonts w:hint="eastAsia" w:ascii="Times New Roman" w:hAnsi="Times New Roman" w:eastAsia="仿宋_GB2312" w:cs="Times New Roman"/>
                <w:color w:val="000000"/>
                <w:kern w:val="0"/>
                <w:sz w:val="24"/>
                <w:szCs w:val="24"/>
                <w:lang w:bidi="ar"/>
              </w:rPr>
              <w:t>其中：课证融通课程数</w:t>
            </w:r>
          </w:p>
        </w:tc>
        <w:tc>
          <w:tcPr>
            <w:tcW w:w="1145" w:type="dxa"/>
            <w:vAlign w:val="center"/>
          </w:tcPr>
          <w:p>
            <w:pPr>
              <w:widowControl/>
              <w:adjustRightInd w:val="0"/>
              <w:snapToGrid w:val="0"/>
              <w:jc w:val="center"/>
              <w:rPr>
                <w:rFonts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rPr>
              <w:t>门</w:t>
            </w:r>
          </w:p>
        </w:tc>
        <w:tc>
          <w:tcPr>
            <w:tcW w:w="1331" w:type="dxa"/>
            <w:vAlign w:val="top"/>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4458" w:type="dxa"/>
            <w:vMerge w:val="continue"/>
            <w:vAlign w:val="center"/>
          </w:tcPr>
          <w:p>
            <w:pPr>
              <w:widowControl/>
              <w:textAlignment w:val="center"/>
              <w:rPr>
                <w:rFonts w:ascii="Times New Roman" w:hAnsi="Times New Roman" w:eastAsia="仿宋_GB2312" w:cs="Times New Roman"/>
                <w:color w:val="000000"/>
                <w:kern w:val="0"/>
                <w:sz w:val="24"/>
                <w:szCs w:val="24"/>
                <w:lang w:bidi="ar"/>
              </w:rPr>
            </w:pPr>
          </w:p>
        </w:tc>
        <w:tc>
          <w:tcPr>
            <w:tcW w:w="1145" w:type="dxa"/>
            <w:vAlign w:val="center"/>
          </w:tcPr>
          <w:p>
            <w:pPr>
              <w:widowControl/>
              <w:adjustRightInd w:val="0"/>
              <w:snapToGrid w:val="0"/>
              <w:jc w:val="center"/>
              <w:rPr>
                <w:rFonts w:ascii="Times New Roman" w:hAnsi="Times New Roman" w:eastAsia="仿宋_GB2312" w:cs="Times New Roman"/>
                <w:kern w:val="0"/>
                <w:sz w:val="24"/>
                <w:szCs w:val="24"/>
                <w:lang w:val="en-US" w:eastAsia="zh-CN" w:bidi="ar-SA"/>
              </w:rPr>
            </w:pPr>
            <w:r>
              <w:rPr>
                <w:rFonts w:ascii="Times New Roman" w:hAnsi="Times New Roman" w:eastAsia="仿宋_GB2312" w:cs="Times New Roman"/>
                <w:kern w:val="0"/>
                <w:sz w:val="24"/>
                <w:szCs w:val="24"/>
              </w:rPr>
              <w:t>学时</w:t>
            </w:r>
          </w:p>
        </w:tc>
        <w:tc>
          <w:tcPr>
            <w:tcW w:w="1331" w:type="dxa"/>
            <w:vAlign w:val="top"/>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4458" w:type="dxa"/>
            <w:vMerge w:val="restart"/>
            <w:vAlign w:val="center"/>
          </w:tcPr>
          <w:p>
            <w:pPr>
              <w:widowControl/>
              <w:ind w:firstLine="720" w:firstLineChars="300"/>
              <w:textAlignment w:val="center"/>
              <w:rPr>
                <w:rFonts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bidi="ar"/>
              </w:rPr>
              <w:t>网络教学课程数</w:t>
            </w:r>
          </w:p>
        </w:tc>
        <w:tc>
          <w:tcPr>
            <w:tcW w:w="1145" w:type="dxa"/>
            <w:vAlign w:val="center"/>
          </w:tcPr>
          <w:p>
            <w:pPr>
              <w:widowControl/>
              <w:adjustRightInd w:val="0"/>
              <w:snapToGrid w:val="0"/>
              <w:jc w:val="center"/>
              <w:rPr>
                <w:rFonts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rPr>
              <w:t>门</w:t>
            </w:r>
          </w:p>
        </w:tc>
        <w:tc>
          <w:tcPr>
            <w:tcW w:w="1331" w:type="dxa"/>
            <w:vAlign w:val="top"/>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4458" w:type="dxa"/>
            <w:vMerge w:val="continue"/>
            <w:vAlign w:val="center"/>
          </w:tcPr>
          <w:p>
            <w:pPr>
              <w:widowControl/>
              <w:textAlignment w:val="center"/>
              <w:rPr>
                <w:rFonts w:ascii="Times New Roman" w:hAnsi="Times New Roman" w:eastAsia="仿宋_GB2312" w:cs="Times New Roman"/>
                <w:color w:val="000000"/>
                <w:kern w:val="0"/>
                <w:sz w:val="24"/>
                <w:szCs w:val="24"/>
                <w:lang w:bidi="ar"/>
              </w:rPr>
            </w:pPr>
          </w:p>
        </w:tc>
        <w:tc>
          <w:tcPr>
            <w:tcW w:w="1145" w:type="dxa"/>
            <w:vAlign w:val="center"/>
          </w:tcPr>
          <w:p>
            <w:pPr>
              <w:widowControl/>
              <w:adjustRightInd w:val="0"/>
              <w:snapToGrid w:val="0"/>
              <w:jc w:val="center"/>
              <w:rPr>
                <w:rFonts w:ascii="Times New Roman" w:hAnsi="Times New Roman" w:eastAsia="仿宋_GB2312" w:cs="Times New Roman"/>
                <w:kern w:val="0"/>
                <w:sz w:val="24"/>
                <w:szCs w:val="24"/>
                <w:lang w:val="en-US" w:eastAsia="zh-CN" w:bidi="ar-SA"/>
              </w:rPr>
            </w:pPr>
            <w:r>
              <w:rPr>
                <w:rFonts w:ascii="Times New Roman" w:hAnsi="Times New Roman" w:eastAsia="仿宋_GB2312" w:cs="Times New Roman"/>
                <w:kern w:val="0"/>
                <w:sz w:val="24"/>
                <w:szCs w:val="24"/>
              </w:rPr>
              <w:t>学时</w:t>
            </w:r>
          </w:p>
        </w:tc>
        <w:tc>
          <w:tcPr>
            <w:tcW w:w="1331" w:type="dxa"/>
            <w:vAlign w:val="top"/>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restart"/>
            <w:vAlign w:val="center"/>
          </w:tcPr>
          <w:p>
            <w:pPr>
              <w:jc w:val="center"/>
              <w:outlineLvl w:val="1"/>
              <w:rPr>
                <w:rFonts w:hint="eastAsia" w:ascii="Times New Roman" w:hAnsi="Times New Roman" w:eastAsia="仿宋_GB2312" w:cs="Times New Roman"/>
                <w:color w:val="C00000"/>
                <w:sz w:val="24"/>
                <w:szCs w:val="24"/>
                <w:lang w:val="en-US" w:eastAsia="zh-CN"/>
              </w:rPr>
            </w:pPr>
            <w:r>
              <w:rPr>
                <w:rFonts w:hint="eastAsia" w:ascii="Times New Roman" w:hAnsi="Times New Roman" w:eastAsia="仿宋_GB2312" w:cs="Times New Roman"/>
                <w:color w:val="auto"/>
                <w:sz w:val="24"/>
                <w:szCs w:val="24"/>
                <w:lang w:val="en-US" w:eastAsia="zh-CN"/>
              </w:rPr>
              <w:t>5</w:t>
            </w:r>
          </w:p>
        </w:tc>
        <w:tc>
          <w:tcPr>
            <w:tcW w:w="4458" w:type="dxa"/>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教学资源库数</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top"/>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其中：国家级数量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top"/>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1200" w:firstLineChars="500"/>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 xml:space="preserve">      省级数量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1200" w:firstLineChars="500"/>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 xml:space="preserve">      校级数量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1200" w:firstLineChars="500"/>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个</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restart"/>
            <w:vAlign w:val="center"/>
          </w:tcPr>
          <w:p>
            <w:pPr>
              <w:jc w:val="center"/>
              <w:outlineLvl w:val="1"/>
              <w:rPr>
                <w:rFonts w:hint="eastAsia" w:ascii="Times New Roman" w:hAnsi="Times New Roman" w:eastAsia="仿宋_GB2312" w:cs="Times New Roman"/>
                <w:color w:val="C00000"/>
                <w:sz w:val="24"/>
                <w:szCs w:val="24"/>
                <w:lang w:val="en-US" w:eastAsia="zh-CN"/>
              </w:rPr>
            </w:pPr>
            <w:r>
              <w:rPr>
                <w:rFonts w:hint="eastAsia" w:ascii="Times New Roman" w:hAnsi="Times New Roman" w:eastAsia="仿宋_GB2312" w:cs="Times New Roman"/>
                <w:color w:val="auto"/>
                <w:sz w:val="24"/>
                <w:szCs w:val="24"/>
                <w:lang w:val="en-US" w:eastAsia="zh-CN"/>
              </w:rPr>
              <w:t>6</w:t>
            </w:r>
          </w:p>
        </w:tc>
        <w:tc>
          <w:tcPr>
            <w:tcW w:w="4458" w:type="dxa"/>
            <w:vMerge w:val="restart"/>
            <w:vAlign w:val="center"/>
          </w:tcPr>
          <w:p>
            <w:pPr>
              <w:widowControl/>
              <w:textAlignment w:val="center"/>
              <w:rPr>
                <w:rFonts w:hint="eastAsia" w:ascii="Times New Roman" w:hAnsi="Times New Roman" w:eastAsia="仿宋_GB2312" w:cstheme="minorBidi"/>
                <w:color w:val="auto"/>
                <w:kern w:val="0"/>
                <w:sz w:val="24"/>
                <w:szCs w:val="24"/>
                <w:lang w:val="en-US" w:eastAsia="zh-CN" w:bidi="ar-SA"/>
              </w:rPr>
            </w:pPr>
            <w:r>
              <w:rPr>
                <w:rFonts w:hint="eastAsia" w:ascii="Times New Roman" w:hAnsi="Times New Roman" w:eastAsia="仿宋_GB2312" w:cs="Times New Roman"/>
                <w:color w:val="auto"/>
                <w:kern w:val="0"/>
                <w:sz w:val="24"/>
                <w:szCs w:val="24"/>
                <w:lang w:bidi="ar"/>
              </w:rPr>
              <w:t>在线精品课程数</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Merge w:val="continue"/>
            <w:vAlign w:val="center"/>
          </w:tcPr>
          <w:p>
            <w:pPr>
              <w:widowControl/>
              <w:textAlignment w:val="center"/>
              <w:rPr>
                <w:rFonts w:ascii="Times New Roman" w:hAnsi="Times New Roman" w:eastAsia="仿宋_GB2312" w:cs="Times New Roman"/>
                <w:color w:val="auto"/>
                <w:kern w:val="0"/>
                <w:sz w:val="24"/>
                <w:szCs w:val="24"/>
                <w:lang w:bidi="ar"/>
                <w:rPrChange w:id="0" w:author="宗诚" w:date="2022-10-17T16:55:25Z">
                  <w:rPr>
                    <w:rFonts w:ascii="Times New Roman" w:hAnsi="Times New Roman" w:eastAsia="仿宋_GB2312" w:cs="Times New Roman"/>
                    <w:color w:val="C00000"/>
                    <w:kern w:val="0"/>
                    <w:sz w:val="24"/>
                    <w:szCs w:val="24"/>
                    <w:lang w:bidi="ar"/>
                  </w:rPr>
                </w:rPrChange>
              </w:rPr>
            </w:pP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Change w:id="1" w:author="宗诚" w:date="2022-10-17T16:55:25Z">
                  <w:rPr>
                    <w:rFonts w:ascii="Times New Roman" w:hAnsi="Times New Roman" w:eastAsia="仿宋_GB2312" w:cs="Times New Roman"/>
                    <w:color w:val="C00000"/>
                    <w:kern w:val="0"/>
                    <w:sz w:val="24"/>
                    <w:szCs w:val="24"/>
                    <w:lang w:val="en-US" w:eastAsia="zh-CN" w:bidi="ar-SA"/>
                  </w:rPr>
                </w:rPrChange>
              </w:rPr>
            </w:pPr>
            <w:r>
              <w:rPr>
                <w:rFonts w:ascii="Times New Roman" w:hAnsi="Times New Roman" w:eastAsia="仿宋_GB2312" w:cs="Times New Roman"/>
                <w:color w:val="auto"/>
                <w:kern w:val="0"/>
                <w:sz w:val="24"/>
                <w:szCs w:val="24"/>
                <w:rPrChange w:id="2" w:author="宗诚" w:date="2022-10-17T16:55:25Z">
                  <w:rPr>
                    <w:rFonts w:ascii="Times New Roman" w:hAnsi="Times New Roman" w:eastAsia="仿宋_GB2312" w:cs="Times New Roman"/>
                    <w:color w:val="C00000"/>
                    <w:kern w:val="0"/>
                    <w:sz w:val="24"/>
                    <w:szCs w:val="24"/>
                  </w:rPr>
                </w:rPrChange>
              </w:rPr>
              <w:t>学时</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Change w:id="3" w:author="宗诚" w:date="2022-10-17T16:55:25Z">
                  <w:rPr>
                    <w:rFonts w:ascii="Times New Roman" w:hAnsi="Times New Roman" w:eastAsia="仿宋_GB2312" w:cs="Times New Roman"/>
                    <w:color w:val="C00000"/>
                    <w:kern w:val="0"/>
                    <w:sz w:val="24"/>
                    <w:szCs w:val="24"/>
                    <w:lang w:val="en-US" w:eastAsia="zh-CN" w:bidi="ar"/>
                  </w:rPr>
                </w:rPrChange>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Change w:id="4" w:author="宗诚" w:date="2022-10-17T16:55:25Z">
                  <w:rPr>
                    <w:rFonts w:hint="eastAsia" w:ascii="Times New Roman" w:hAnsi="Times New Roman" w:eastAsia="仿宋_GB2312" w:cs="Times New Roman"/>
                    <w:color w:val="C00000"/>
                    <w:kern w:val="0"/>
                    <w:sz w:val="18"/>
                    <w:szCs w:val="18"/>
                    <w:lang w:val="en-US" w:eastAsia="zh-CN" w:bidi="ar"/>
                  </w:rPr>
                </w:rPrChange>
              </w:rPr>
            </w:pPr>
            <w:r>
              <w:rPr>
                <w:rFonts w:hint="eastAsia" w:ascii="Times New Roman" w:hAnsi="Times New Roman" w:eastAsia="仿宋_GB2312" w:cs="Times New Roman"/>
                <w:color w:val="auto"/>
                <w:kern w:val="0"/>
                <w:sz w:val="18"/>
                <w:szCs w:val="18"/>
                <w:lang w:bidi="ar"/>
                <w:rPrChange w:id="5" w:author="宗诚" w:date="2022-10-17T16:55:25Z">
                  <w:rPr>
                    <w:rFonts w:hint="eastAsia" w:ascii="Times New Roman" w:hAnsi="Times New Roman" w:eastAsia="仿宋_GB2312" w:cs="Times New Roman"/>
                    <w:color w:val="C00000"/>
                    <w:kern w:val="0"/>
                    <w:sz w:val="18"/>
                    <w:szCs w:val="18"/>
                    <w:lang w:bidi="ar"/>
                  </w:rPr>
                </w:rPrChange>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bidi="ar"/>
              </w:rPr>
              <w:t>在线精品课程课均学生数</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人</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其中：国家级数量</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1200" w:firstLineChars="500"/>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 xml:space="preserve">      省级数量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1200" w:firstLineChars="500"/>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 xml:space="preserve">      校级数量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1200" w:firstLineChars="500"/>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门</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restart"/>
            <w:vAlign w:val="center"/>
          </w:tcPr>
          <w:p>
            <w:pPr>
              <w:jc w:val="center"/>
              <w:outlineLvl w:val="1"/>
              <w:rPr>
                <w:rFonts w:hint="eastAsia" w:ascii="Times New Roman" w:hAnsi="Times New Roman" w:eastAsia="仿宋_GB2312" w:cs="Times New Roman"/>
                <w:color w:val="C00000"/>
                <w:sz w:val="24"/>
                <w:szCs w:val="24"/>
                <w:lang w:val="en-US" w:eastAsia="zh-CN"/>
              </w:rPr>
            </w:pPr>
            <w:r>
              <w:rPr>
                <w:rFonts w:hint="eastAsia" w:ascii="Times New Roman" w:hAnsi="Times New Roman" w:eastAsia="仿宋_GB2312" w:cs="Times New Roman"/>
                <w:color w:val="auto"/>
                <w:sz w:val="24"/>
                <w:szCs w:val="24"/>
                <w:lang w:val="en-US" w:eastAsia="zh-CN"/>
              </w:rPr>
              <w:t>7</w:t>
            </w:r>
          </w:p>
        </w:tc>
        <w:tc>
          <w:tcPr>
            <w:tcW w:w="4458" w:type="dxa"/>
            <w:vAlign w:val="center"/>
          </w:tcPr>
          <w:p>
            <w:pPr>
              <w:widowControl/>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编写教材数</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本</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其中：国家规划教材数量</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本</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 xml:space="preserve">      校企合作编写教材数量</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本</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 xml:space="preserve">      新形态教材数量</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本</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color w:val="C00000"/>
                <w:sz w:val="24"/>
                <w:szCs w:val="24"/>
              </w:rPr>
            </w:pPr>
          </w:p>
        </w:tc>
        <w:tc>
          <w:tcPr>
            <w:tcW w:w="4458" w:type="dxa"/>
            <w:vAlign w:val="center"/>
          </w:tcPr>
          <w:p>
            <w:pPr>
              <w:widowControl/>
              <w:ind w:firstLine="720" w:firstLineChars="300"/>
              <w:jc w:val="both"/>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接入国家智慧教育平台数量</w:t>
            </w:r>
          </w:p>
        </w:tc>
        <w:tc>
          <w:tcPr>
            <w:tcW w:w="1145" w:type="dxa"/>
            <w:vAlign w:val="center"/>
          </w:tcPr>
          <w:p>
            <w:pPr>
              <w:widowControl/>
              <w:adjustRightInd w:val="0"/>
              <w:snapToGrid w:val="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本</w:t>
            </w:r>
          </w:p>
        </w:tc>
        <w:tc>
          <w:tcPr>
            <w:tcW w:w="1331" w:type="dxa"/>
            <w:vAlign w:val="center"/>
          </w:tcPr>
          <w:p>
            <w:pPr>
              <w:widowControl/>
              <w:jc w:val="center"/>
              <w:textAlignment w:val="center"/>
              <w:rPr>
                <w:rFonts w:ascii="Times New Roman" w:hAnsi="Times New Roman" w:eastAsia="仿宋_GB2312" w:cs="Times New Roman"/>
                <w:color w:val="auto"/>
                <w:kern w:val="0"/>
                <w:sz w:val="24"/>
                <w:szCs w:val="24"/>
                <w:lang w:val="en-US" w:eastAsia="zh-CN" w:bidi="ar"/>
              </w:rPr>
            </w:pPr>
          </w:p>
        </w:tc>
        <w:tc>
          <w:tcPr>
            <w:tcW w:w="855" w:type="dxa"/>
            <w:vAlign w:val="center"/>
          </w:tcPr>
          <w:p>
            <w:pPr>
              <w:widowControl/>
              <w:ind w:left="-105" w:leftChars="-50" w:right="-105" w:rightChars="-50"/>
              <w:jc w:val="center"/>
              <w:textAlignment w:val="center"/>
              <w:rPr>
                <w:rFonts w:hint="eastAsia" w:ascii="Times New Roman" w:hAnsi="Times New Roman" w:eastAsia="仿宋_GB2312" w:cs="Times New Roman"/>
                <w:color w:val="auto"/>
                <w:kern w:val="0"/>
                <w:sz w:val="18"/>
                <w:szCs w:val="18"/>
                <w:lang w:val="en-US" w:eastAsia="zh-CN" w:bidi="ar"/>
              </w:rPr>
            </w:pPr>
            <w:r>
              <w:rPr>
                <w:rFonts w:hint="eastAsia" w:ascii="Times New Roman" w:hAnsi="Times New Roman" w:eastAsia="仿宋_GB2312" w:cs="Times New Roman"/>
                <w:color w:val="auto"/>
                <w:kern w:val="0"/>
                <w:sz w:val="18"/>
                <w:szCs w:val="18"/>
                <w:lang w:val="en-US" w:eastAsia="zh-CN"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8</w:t>
            </w:r>
          </w:p>
        </w:tc>
        <w:tc>
          <w:tcPr>
            <w:tcW w:w="4458" w:type="dxa"/>
            <w:vAlign w:val="center"/>
          </w:tcPr>
          <w:p>
            <w:pPr>
              <w:widowControl/>
              <w:textAlignment w:val="center"/>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互联网出口带宽</w:t>
            </w:r>
          </w:p>
        </w:tc>
        <w:tc>
          <w:tcPr>
            <w:tcW w:w="1145" w:type="dxa"/>
            <w:vAlign w:val="center"/>
          </w:tcPr>
          <w:p>
            <w:pPr>
              <w:widowControl/>
              <w:adjustRightInd w:val="0"/>
              <w:snapToGrid w:val="0"/>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0"/>
                <w:sz w:val="24"/>
                <w:szCs w:val="24"/>
              </w:rPr>
              <w:t>Mbps</w:t>
            </w:r>
          </w:p>
        </w:tc>
        <w:tc>
          <w:tcPr>
            <w:tcW w:w="1331" w:type="dxa"/>
            <w:vAlign w:val="top"/>
          </w:tcPr>
          <w:p>
            <w:pPr>
              <w:widowControl/>
              <w:jc w:val="center"/>
              <w:textAlignment w:val="center"/>
              <w:rPr>
                <w:rFonts w:ascii="Times New Roman" w:hAnsi="Times New Roman" w:eastAsia="仿宋_GB2312" w:cs="Times New Roman"/>
                <w:color w:val="000000"/>
                <w:kern w:val="0"/>
                <w:sz w:val="24"/>
                <w:szCs w:val="24"/>
                <w:lang w:val="en-US" w:eastAsia="zh-CN" w:bidi="ar"/>
              </w:rPr>
            </w:pPr>
          </w:p>
        </w:tc>
        <w:tc>
          <w:tcPr>
            <w:tcW w:w="855" w:type="dxa"/>
            <w:vAlign w:val="center"/>
          </w:tcPr>
          <w:p>
            <w:pPr>
              <w:widowControl/>
              <w:ind w:left="-105" w:leftChars="-50" w:right="-105" w:rightChars="-50"/>
              <w:jc w:val="center"/>
              <w:outlineLvl w:val="2"/>
              <w:rPr>
                <w:rFonts w:hint="eastAsia" w:ascii="Times New Roman" w:hAnsi="Times New Roman" w:eastAsia="方正小标宋简体" w:cs="Times New Roman"/>
                <w:kern w:val="2"/>
                <w:sz w:val="32"/>
                <w:szCs w:val="32"/>
                <w:lang w:val="en-US" w:eastAsia="zh-CN" w:bidi="ar-SA"/>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9</w:t>
            </w:r>
          </w:p>
        </w:tc>
        <w:tc>
          <w:tcPr>
            <w:tcW w:w="4458"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cs="Times New Roman"/>
                <w:color w:val="000000"/>
                <w:kern w:val="0"/>
                <w:sz w:val="24"/>
                <w:szCs w:val="24"/>
                <w:lang w:bidi="ar"/>
              </w:rPr>
              <w:t>校园网主干最大带宽</w:t>
            </w:r>
          </w:p>
        </w:tc>
        <w:tc>
          <w:tcPr>
            <w:tcW w:w="1145" w:type="dxa"/>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Mbps</w:t>
            </w:r>
          </w:p>
        </w:tc>
        <w:tc>
          <w:tcPr>
            <w:tcW w:w="1331"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55"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4458" w:type="dxa"/>
            <w:vAlign w:val="center"/>
          </w:tcPr>
          <w:p>
            <w:pPr>
              <w:widowControl/>
              <w:textAlignment w:val="center"/>
              <w:rPr>
                <w:rFonts w:ascii="Times New Roman" w:hAnsi="Times New Roman" w:eastAsia="仿宋_GB2312"/>
                <w:kern w:val="0"/>
                <w:sz w:val="24"/>
                <w:szCs w:val="24"/>
              </w:rPr>
            </w:pPr>
            <w:r>
              <w:rPr>
                <w:rFonts w:ascii="Times New Roman" w:hAnsi="Times New Roman" w:eastAsia="仿宋_GB2312" w:cs="Times New Roman"/>
                <w:color w:val="000000"/>
                <w:kern w:val="0"/>
                <w:sz w:val="24"/>
                <w:szCs w:val="24"/>
                <w:lang w:bidi="ar"/>
              </w:rPr>
              <w:t>生均校内实践教学工位数</w:t>
            </w:r>
          </w:p>
        </w:tc>
        <w:tc>
          <w:tcPr>
            <w:tcW w:w="1145" w:type="dxa"/>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个/生</w:t>
            </w:r>
          </w:p>
        </w:tc>
        <w:tc>
          <w:tcPr>
            <w:tcW w:w="1331"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55"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Align w:val="center"/>
          </w:tcPr>
          <w:p>
            <w:pPr>
              <w:jc w:val="center"/>
              <w:outlineLvl w:val="1"/>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w:t>
            </w:r>
          </w:p>
        </w:tc>
        <w:tc>
          <w:tcPr>
            <w:tcW w:w="4458" w:type="dxa"/>
            <w:vAlign w:val="center"/>
          </w:tcPr>
          <w:p>
            <w:pPr>
              <w:widowControl/>
              <w:textAlignment w:val="center"/>
              <w:rPr>
                <w:rFonts w:ascii="Times New Roman" w:hAnsi="Times New Roman" w:eastAsia="仿宋_GB2312"/>
                <w:kern w:val="0"/>
                <w:sz w:val="24"/>
                <w:szCs w:val="24"/>
              </w:rPr>
            </w:pPr>
            <w:r>
              <w:rPr>
                <w:rFonts w:ascii="Times New Roman" w:hAnsi="Times New Roman" w:eastAsia="仿宋_GB2312" w:cs="Times New Roman"/>
                <w:color w:val="000000"/>
                <w:kern w:val="0"/>
                <w:sz w:val="24"/>
                <w:szCs w:val="24"/>
                <w:lang w:bidi="ar"/>
              </w:rPr>
              <w:t>生均教学科研仪器设备值</w:t>
            </w:r>
          </w:p>
        </w:tc>
        <w:tc>
          <w:tcPr>
            <w:tcW w:w="1145" w:type="dxa"/>
            <w:vAlign w:val="center"/>
          </w:tcPr>
          <w:p>
            <w:pPr>
              <w:widowControl/>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元/生</w:t>
            </w:r>
          </w:p>
        </w:tc>
        <w:tc>
          <w:tcPr>
            <w:tcW w:w="1331"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55" w:type="dxa"/>
            <w:vAlign w:val="center"/>
          </w:tcPr>
          <w:p>
            <w:pPr>
              <w:widowControl/>
              <w:ind w:left="-105" w:leftChars="-50" w:right="-105" w:rightChars="-50"/>
              <w:jc w:val="center"/>
              <w:outlineLvl w:val="2"/>
              <w:rPr>
                <w:rFonts w:ascii="Times New Roman" w:hAnsi="Times New Roman" w:eastAsia="方正小标宋简体" w:cs="Times New Roman"/>
                <w:sz w:val="32"/>
                <w:szCs w:val="32"/>
              </w:rPr>
            </w:pPr>
            <w:r>
              <w:rPr>
                <w:rFonts w:hint="eastAsia" w:ascii="Times New Roman" w:hAnsi="Times New Roman" w:eastAsia="仿宋_GB2312" w:cs="Times New Roman"/>
                <w:color w:val="000000"/>
                <w:kern w:val="0"/>
                <w:sz w:val="18"/>
                <w:szCs w:val="18"/>
                <w:lang w:bidi="ar"/>
              </w:rPr>
              <w:t>引用</w:t>
            </w:r>
          </w:p>
        </w:tc>
      </w:tr>
    </w:tbl>
    <w:p>
      <w:pPr>
        <w:numPr>
          <w:ilvl w:val="0"/>
          <w:numId w:val="6"/>
        </w:numPr>
        <w:tabs>
          <w:tab w:val="left" w:pos="958"/>
          <w:tab w:val="left" w:pos="1078"/>
        </w:tabs>
        <w:ind w:left="-10"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生师比</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rPr>
        <w:t>指全日制在校生人数与教师总数之比，比值填写为X：1。全日制在校生为2019级、2020级和2021级，职教本科院校包括2018级。</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双师素质专任教师比例</w:t>
      </w:r>
      <w:r>
        <w:rPr>
          <w:rFonts w:hint="eastAsia" w:ascii="Times New Roman" w:hAnsi="Times New Roman" w:eastAsia="仿宋_GB2312"/>
          <w:b/>
          <w:bCs/>
          <w:sz w:val="32"/>
          <w:szCs w:val="32"/>
          <w:lang w:eastAsia="zh-CN"/>
        </w:rPr>
        <w:t>：</w:t>
      </w:r>
      <w:r>
        <w:rPr>
          <w:rFonts w:hint="eastAsia" w:ascii="仿宋_GB2312" w:hAnsi="仿宋_GB2312" w:eastAsia="仿宋_GB2312" w:cs="仿宋_GB2312"/>
          <w:sz w:val="32"/>
          <w:szCs w:val="32"/>
        </w:rPr>
        <w:t>指</w:t>
      </w:r>
      <w:r>
        <w:rPr>
          <w:rFonts w:hint="eastAsia" w:ascii="Times New Roman" w:hAnsi="Times New Roman" w:eastAsia="仿宋_GB2312"/>
          <w:sz w:val="32"/>
          <w:szCs w:val="32"/>
        </w:rPr>
        <w:t>双师素质专任教师人数/专任教师数</w:t>
      </w:r>
      <w:r>
        <w:rPr>
          <w:rFonts w:ascii="Arial" w:hAnsi="Arial" w:eastAsia="仿宋_GB2312" w:cs="Arial"/>
          <w:sz w:val="32"/>
          <w:szCs w:val="32"/>
        </w:rPr>
        <w:t>×</w:t>
      </w:r>
      <w:r>
        <w:rPr>
          <w:rFonts w:hint="eastAsia" w:ascii="Times New Roman" w:hAnsi="Times New Roman" w:eastAsia="仿宋_GB2312"/>
          <w:sz w:val="32"/>
          <w:szCs w:val="32"/>
        </w:rPr>
        <w:t>100%。双师素质教师指经省级教育行政部门认定或备案，由学校按照聘任程序聘用的同时具有教师资格证书和国家职业技能等级证书（或职业资格证书或专业技术职务或五年企业实践时长6个月以上）的双师型教师。</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高级专业技术职务专任教师比例</w:t>
      </w:r>
      <w:r>
        <w:rPr>
          <w:rFonts w:hint="eastAsia" w:ascii="Times New Roman" w:hAnsi="Times New Roman" w:eastAsia="仿宋_GB2312"/>
          <w:b/>
          <w:bCs/>
          <w:sz w:val="32"/>
          <w:szCs w:val="32"/>
          <w:lang w:eastAsia="zh-CN"/>
        </w:rPr>
        <w:t>：</w:t>
      </w:r>
      <w:r>
        <w:rPr>
          <w:rFonts w:hint="eastAsia" w:ascii="仿宋_GB2312" w:hAnsi="仿宋_GB2312" w:eastAsia="仿宋_GB2312" w:cs="仿宋_GB2312"/>
          <w:sz w:val="32"/>
          <w:szCs w:val="32"/>
        </w:rPr>
        <w:t>指</w:t>
      </w:r>
      <w:r>
        <w:rPr>
          <w:rFonts w:hint="eastAsia" w:ascii="Times New Roman" w:hAnsi="Times New Roman" w:eastAsia="仿宋_GB2312"/>
          <w:sz w:val="32"/>
          <w:szCs w:val="32"/>
        </w:rPr>
        <w:t>具有副高及以上专业技术职务专任教师人数/专任教师数</w:t>
      </w:r>
      <w:r>
        <w:rPr>
          <w:rFonts w:ascii="Arial" w:hAnsi="Arial" w:eastAsia="仿宋_GB2312" w:cs="Arial"/>
          <w:sz w:val="32"/>
          <w:szCs w:val="32"/>
        </w:rPr>
        <w:t>×</w:t>
      </w:r>
      <w:r>
        <w:rPr>
          <w:rFonts w:hint="eastAsia" w:ascii="Times New Roman" w:hAnsi="Times New Roman" w:eastAsia="仿宋_GB2312"/>
          <w:sz w:val="32"/>
          <w:szCs w:val="32"/>
        </w:rPr>
        <w:t>100%。</w:t>
      </w:r>
    </w:p>
    <w:p>
      <w:pPr>
        <w:numPr>
          <w:ilvl w:val="0"/>
          <w:numId w:val="6"/>
        </w:numPr>
        <w:tabs>
          <w:tab w:val="left" w:pos="958"/>
          <w:tab w:val="left" w:pos="1078"/>
        </w:tabs>
        <w:ind w:left="-10" w:firstLine="640"/>
        <w:rPr>
          <w:rFonts w:hint="eastAsia" w:ascii="Times New Roman" w:hAnsi="Times New Roman" w:eastAsia="仿宋_GB2312"/>
          <w:b w:val="0"/>
          <w:bCs w:val="0"/>
          <w:sz w:val="32"/>
          <w:szCs w:val="32"/>
        </w:rPr>
      </w:pPr>
      <w:r>
        <w:rPr>
          <w:rFonts w:hint="eastAsia" w:ascii="Times New Roman" w:hAnsi="Times New Roman" w:eastAsia="仿宋_GB2312"/>
          <w:b/>
          <w:bCs/>
          <w:sz w:val="32"/>
          <w:szCs w:val="32"/>
        </w:rPr>
        <w:t>教学计划内课程总数</w:t>
      </w:r>
      <w:r>
        <w:rPr>
          <w:rFonts w:hint="eastAsia" w:ascii="Times New Roman" w:hAnsi="Times New Roman" w:eastAsia="仿宋_GB2312"/>
          <w:b/>
          <w:bCs/>
          <w:sz w:val="32"/>
          <w:szCs w:val="32"/>
          <w:lang w:eastAsia="zh-CN"/>
        </w:rPr>
        <w:t>：</w:t>
      </w:r>
      <w:r>
        <w:rPr>
          <w:rFonts w:hint="eastAsia" w:ascii="Times New Roman" w:hAnsi="Times New Roman" w:eastAsia="仿宋_GB2312"/>
          <w:sz w:val="32"/>
          <w:szCs w:val="32"/>
        </w:rPr>
        <w:t>指按照专业人才培养方案要求开设的课程总量，包括课程门数和总学时数。其中，</w:t>
      </w:r>
      <w:r>
        <w:rPr>
          <w:rFonts w:hint="eastAsia" w:ascii="Times New Roman" w:hAnsi="Times New Roman" w:eastAsia="仿宋_GB2312"/>
          <w:b/>
          <w:bCs/>
          <w:sz w:val="32"/>
          <w:szCs w:val="32"/>
        </w:rPr>
        <w:t>课证融通课程</w:t>
      </w:r>
      <w:r>
        <w:rPr>
          <w:rFonts w:hint="eastAsia" w:ascii="Times New Roman" w:hAnsi="Times New Roman" w:eastAsia="仿宋_GB2312"/>
          <w:sz w:val="32"/>
          <w:szCs w:val="32"/>
        </w:rPr>
        <w:t>指按照专业人才培养方案要求开设的课程中，课程内容与职业技能等级证书（职业资格证书）相互融合的课程；</w:t>
      </w:r>
      <w:r>
        <w:rPr>
          <w:rFonts w:hint="eastAsia" w:ascii="Times New Roman" w:hAnsi="Times New Roman" w:eastAsia="仿宋_GB2312"/>
          <w:b/>
          <w:bCs/>
          <w:sz w:val="32"/>
          <w:szCs w:val="32"/>
        </w:rPr>
        <w:t>网络教学课程</w:t>
      </w:r>
      <w:r>
        <w:rPr>
          <w:rFonts w:hint="eastAsia" w:ascii="Times New Roman" w:hAnsi="Times New Roman" w:eastAsia="仿宋_GB2312"/>
          <w:sz w:val="32"/>
          <w:szCs w:val="32"/>
        </w:rPr>
        <w:t>指按照专业人才培养方案要求，拥有数字化教学资源，并通过网络教学平台开展授课、答疑、讨论以及提交作业和下载课件等基本教学活动的网络课程，建有课程网站但不完全符合上述条件的课程，不能计入网络课程</w:t>
      </w:r>
      <w:r>
        <w:rPr>
          <w:rFonts w:hint="eastAsia" w:ascii="Times New Roman" w:hAnsi="Times New Roman" w:eastAsia="仿宋_GB2312"/>
          <w:b/>
          <w:bCs/>
          <w:kern w:val="2"/>
          <w:sz w:val="32"/>
          <w:szCs w:val="32"/>
          <w:lang w:val="en-US" w:eastAsia="zh-CN"/>
        </w:rPr>
        <w:t>。</w:t>
      </w:r>
    </w:p>
    <w:p>
      <w:pPr>
        <w:numPr>
          <w:ilvl w:val="0"/>
          <w:numId w:val="6"/>
        </w:numPr>
        <w:tabs>
          <w:tab w:val="left" w:pos="958"/>
          <w:tab w:val="left" w:pos="1078"/>
        </w:tabs>
        <w:ind w:left="-10" w:firstLine="640"/>
        <w:rPr>
          <w:rFonts w:hint="eastAsia" w:ascii="Times New Roman" w:hAnsi="Times New Roman" w:eastAsia="仿宋_GB2312"/>
          <w:sz w:val="32"/>
          <w:szCs w:val="32"/>
          <w:rPrChange w:id="6" w:author="烟如织" w:date="2022-10-17T16:42:57Z">
            <w:rPr>
              <w:rFonts w:ascii="Times New Roman" w:hAnsi="Times New Roman" w:eastAsia="仿宋_GB2312"/>
              <w:sz w:val="32"/>
              <w:szCs w:val="32"/>
            </w:rPr>
          </w:rPrChange>
        </w:rPr>
      </w:pPr>
      <w:r>
        <w:rPr>
          <w:rFonts w:hint="eastAsia" w:ascii="Times New Roman" w:hAnsi="Times New Roman" w:eastAsia="仿宋_GB2312" w:cstheme="minorBidi"/>
          <w:b/>
          <w:bCs/>
          <w:color w:val="auto"/>
          <w:kern w:val="2"/>
          <w:sz w:val="32"/>
          <w:szCs w:val="32"/>
          <w:lang w:val="en-US" w:eastAsia="zh-CN" w:bidi="ar"/>
        </w:rPr>
        <w:t>教学资源库数：</w:t>
      </w:r>
      <w:r>
        <w:rPr>
          <w:rFonts w:hint="eastAsia" w:ascii="Times New Roman" w:hAnsi="Times New Roman" w:eastAsia="仿宋_GB2312" w:cstheme="minorBidi"/>
          <w:b w:val="0"/>
          <w:bCs w:val="0"/>
          <w:kern w:val="2"/>
          <w:sz w:val="32"/>
          <w:szCs w:val="32"/>
          <w:lang w:val="en-US" w:eastAsia="zh-CN" w:bidi="ar"/>
        </w:rPr>
        <w:t>指</w:t>
      </w:r>
      <w:r>
        <w:rPr>
          <w:rFonts w:hint="eastAsia" w:ascii="Times New Roman" w:hAnsi="Times New Roman" w:eastAsia="仿宋_GB2312"/>
          <w:b w:val="0"/>
          <w:bCs w:val="0"/>
          <w:kern w:val="2"/>
          <w:sz w:val="32"/>
          <w:szCs w:val="32"/>
          <w:lang w:val="en-US" w:eastAsia="zh-CN"/>
        </w:rPr>
        <w:t>截止到2022年8月31日</w:t>
      </w:r>
      <w:r>
        <w:rPr>
          <w:rFonts w:hint="eastAsia" w:ascii="Times New Roman" w:hAnsi="Times New Roman" w:eastAsia="仿宋_GB2312" w:cstheme="minorBidi"/>
          <w:b w:val="0"/>
          <w:bCs w:val="0"/>
          <w:kern w:val="2"/>
          <w:sz w:val="32"/>
          <w:szCs w:val="32"/>
          <w:lang w:val="en-US" w:eastAsia="zh-CN" w:bidi="ar"/>
        </w:rPr>
        <w:t>学校</w:t>
      </w:r>
      <w:r>
        <w:rPr>
          <w:rFonts w:hint="eastAsia" w:ascii="Times New Roman" w:hAnsi="Times New Roman" w:eastAsia="仿宋_GB2312"/>
          <w:b w:val="0"/>
          <w:bCs w:val="0"/>
          <w:sz w:val="32"/>
          <w:szCs w:val="32"/>
          <w:lang w:val="en-US" w:eastAsia="zh-CN"/>
        </w:rPr>
        <w:t>主持或参与</w:t>
      </w:r>
      <w:r>
        <w:rPr>
          <w:rFonts w:hint="eastAsia" w:ascii="Times New Roman" w:hAnsi="Times New Roman" w:eastAsia="仿宋_GB2312" w:cstheme="minorBidi"/>
          <w:b w:val="0"/>
          <w:bCs w:val="0"/>
          <w:kern w:val="2"/>
          <w:sz w:val="32"/>
          <w:szCs w:val="32"/>
          <w:lang w:val="en-US" w:eastAsia="zh-CN" w:bidi="ar"/>
        </w:rPr>
        <w:t>建设的教学资源库总数量，包括国家级、省级和校级教学资源库。分别统计</w:t>
      </w:r>
      <w:r>
        <w:rPr>
          <w:rFonts w:hint="eastAsia" w:ascii="Times New Roman" w:hAnsi="Times New Roman" w:eastAsia="仿宋_GB2312" w:cstheme="minorBidi"/>
          <w:b/>
          <w:bCs/>
          <w:kern w:val="2"/>
          <w:sz w:val="32"/>
          <w:szCs w:val="32"/>
          <w:lang w:val="en-US" w:eastAsia="zh-CN" w:bidi="ar"/>
        </w:rPr>
        <w:t>国家级、省级、校级教学资源库数量</w:t>
      </w:r>
      <w:r>
        <w:rPr>
          <w:rFonts w:hint="eastAsia" w:ascii="Times New Roman" w:hAnsi="Times New Roman" w:eastAsia="仿宋_GB2312" w:cstheme="minorBidi"/>
          <w:b w:val="0"/>
          <w:bCs w:val="0"/>
          <w:kern w:val="2"/>
          <w:sz w:val="32"/>
          <w:szCs w:val="32"/>
          <w:lang w:val="en-US" w:eastAsia="zh-CN" w:bidi="ar"/>
        </w:rPr>
        <w:t>以及分别</w:t>
      </w:r>
      <w:r>
        <w:rPr>
          <w:rFonts w:hint="eastAsia" w:ascii="Times New Roman" w:hAnsi="Times New Roman" w:eastAsia="仿宋_GB2312" w:cstheme="minorBidi"/>
          <w:b/>
          <w:bCs/>
          <w:kern w:val="2"/>
          <w:sz w:val="32"/>
          <w:szCs w:val="32"/>
          <w:lang w:val="en-US" w:eastAsia="zh-CN" w:bidi="ar"/>
        </w:rPr>
        <w:t>接入</w:t>
      </w:r>
      <w:r>
        <w:rPr>
          <w:rFonts w:hint="eastAsia" w:ascii="Times New Roman" w:hAnsi="Times New Roman" w:eastAsia="仿宋_GB2312"/>
          <w:b/>
          <w:bCs/>
          <w:kern w:val="2"/>
          <w:sz w:val="32"/>
          <w:szCs w:val="32"/>
          <w:lang w:val="en-US" w:eastAsia="zh-CN"/>
        </w:rPr>
        <w:t>国家职业教育智慧教育平台</w:t>
      </w:r>
      <w:r>
        <w:rPr>
          <w:rFonts w:hint="eastAsia" w:ascii="Times New Roman" w:hAnsi="Times New Roman" w:eastAsia="仿宋_GB2312"/>
          <w:b w:val="0"/>
          <w:bCs w:val="0"/>
          <w:sz w:val="32"/>
          <w:szCs w:val="32"/>
          <w:lang w:eastAsia="zh-CN"/>
        </w:rPr>
        <w:t>（https://vocational.smartedu.cn/）“专业与课程服务中心”</w:t>
      </w:r>
      <w:r>
        <w:rPr>
          <w:rFonts w:hint="eastAsia" w:ascii="Times New Roman" w:hAnsi="Times New Roman" w:eastAsia="仿宋_GB2312"/>
          <w:b w:val="0"/>
          <w:bCs w:val="0"/>
          <w:sz w:val="32"/>
          <w:szCs w:val="32"/>
          <w:lang w:val="en-US" w:eastAsia="zh-CN"/>
        </w:rPr>
        <w:t>的教学资源库数量。（接入国家职业教育智慧教育平台数据由“</w:t>
      </w:r>
      <w:r>
        <w:rPr>
          <w:rFonts w:hint="eastAsia" w:ascii="Times New Roman" w:hAnsi="Times New Roman" w:eastAsia="仿宋_GB2312"/>
          <w:b w:val="0"/>
          <w:bCs w:val="0"/>
          <w:kern w:val="2"/>
          <w:sz w:val="32"/>
          <w:szCs w:val="32"/>
          <w:lang w:val="en-US" w:eastAsia="zh-CN"/>
        </w:rPr>
        <w:t>国家职业教育智慧教育平台</w:t>
      </w:r>
      <w:r>
        <w:rPr>
          <w:rFonts w:hint="eastAsia" w:ascii="Times New Roman" w:hAnsi="Times New Roman" w:eastAsia="仿宋_GB2312"/>
          <w:b w:val="0"/>
          <w:bCs w:val="0"/>
          <w:sz w:val="32"/>
          <w:szCs w:val="32"/>
          <w:lang w:val="en-US" w:eastAsia="zh-CN"/>
        </w:rPr>
        <w:t>”</w:t>
      </w:r>
      <w:r>
        <w:rPr>
          <w:rFonts w:hint="eastAsia" w:ascii="Times New Roman" w:hAnsi="Times New Roman" w:eastAsia="仿宋_GB2312"/>
          <w:b w:val="0"/>
          <w:bCs w:val="0"/>
          <w:kern w:val="2"/>
          <w:sz w:val="32"/>
          <w:szCs w:val="32"/>
          <w:lang w:val="en-US" w:eastAsia="zh-CN"/>
        </w:rPr>
        <w:t>采集</w:t>
      </w:r>
      <w:r>
        <w:rPr>
          <w:rFonts w:hint="eastAsia" w:ascii="Times New Roman" w:hAnsi="Times New Roman" w:eastAsia="仿宋_GB2312"/>
          <w:b w:val="0"/>
          <w:bCs w:val="0"/>
          <w:sz w:val="32"/>
          <w:szCs w:val="32"/>
          <w:lang w:val="en-US" w:eastAsia="zh-CN"/>
        </w:rPr>
        <w:t>）</w:t>
      </w:r>
    </w:p>
    <w:p>
      <w:pPr>
        <w:numPr>
          <w:ilvl w:val="0"/>
          <w:numId w:val="6"/>
        </w:numPr>
        <w:tabs>
          <w:tab w:val="left" w:pos="958"/>
          <w:tab w:val="left" w:pos="1078"/>
        </w:tabs>
        <w:ind w:left="-10" w:firstLine="640"/>
        <w:rPr>
          <w:rFonts w:hint="eastAsia" w:ascii="Times New Roman" w:hAnsi="Times New Roman" w:eastAsia="仿宋_GB2312"/>
          <w:b w:val="0"/>
          <w:bCs w:val="0"/>
          <w:sz w:val="32"/>
          <w:szCs w:val="32"/>
        </w:rPr>
      </w:pPr>
      <w:r>
        <w:rPr>
          <w:rFonts w:hint="eastAsia" w:ascii="Times New Roman" w:hAnsi="Times New Roman" w:eastAsia="仿宋_GB2312"/>
          <w:b/>
          <w:bCs/>
          <w:sz w:val="32"/>
          <w:szCs w:val="32"/>
          <w:lang w:bidi="ar"/>
        </w:rPr>
        <w:t>在线精品课程数</w:t>
      </w:r>
      <w:r>
        <w:rPr>
          <w:rFonts w:hint="eastAsia" w:ascii="Times New Roman" w:hAnsi="Times New Roman" w:eastAsia="仿宋_GB2312"/>
          <w:b/>
          <w:bCs/>
          <w:sz w:val="32"/>
          <w:szCs w:val="32"/>
          <w:lang w:eastAsia="zh-CN" w:bidi="ar"/>
        </w:rPr>
        <w:t>：</w:t>
      </w:r>
      <w:r>
        <w:rPr>
          <w:rFonts w:hint="eastAsia" w:ascii="Times New Roman" w:hAnsi="Times New Roman" w:eastAsia="仿宋_GB2312" w:cstheme="minorBidi"/>
          <w:b w:val="0"/>
          <w:bCs w:val="0"/>
          <w:kern w:val="2"/>
          <w:sz w:val="32"/>
          <w:szCs w:val="32"/>
          <w:lang w:val="en-US" w:eastAsia="zh-CN" w:bidi="ar"/>
        </w:rPr>
        <w:t>指</w:t>
      </w:r>
      <w:r>
        <w:rPr>
          <w:rFonts w:hint="eastAsia" w:ascii="Times New Roman" w:hAnsi="Times New Roman" w:eastAsia="仿宋_GB2312"/>
          <w:b w:val="0"/>
          <w:bCs w:val="0"/>
          <w:kern w:val="2"/>
          <w:sz w:val="32"/>
          <w:szCs w:val="32"/>
          <w:lang w:val="en-US" w:eastAsia="zh-CN"/>
        </w:rPr>
        <w:t>截止到2022年8月31日</w:t>
      </w:r>
      <w:r>
        <w:rPr>
          <w:rFonts w:hint="eastAsia" w:ascii="Times New Roman" w:hAnsi="Times New Roman" w:eastAsia="仿宋_GB2312" w:cstheme="minorBidi"/>
          <w:b w:val="0"/>
          <w:bCs w:val="0"/>
          <w:kern w:val="2"/>
          <w:sz w:val="32"/>
          <w:szCs w:val="32"/>
          <w:lang w:val="en-US" w:eastAsia="zh-CN" w:bidi="ar"/>
        </w:rPr>
        <w:t>学校建设的</w:t>
      </w:r>
      <w:r>
        <w:rPr>
          <w:rFonts w:hint="eastAsia" w:ascii="Times New Roman" w:hAnsi="Times New Roman" w:eastAsia="仿宋_GB2312"/>
          <w:b w:val="0"/>
          <w:bCs w:val="0"/>
          <w:sz w:val="32"/>
          <w:szCs w:val="32"/>
        </w:rPr>
        <w:t>在线精品课程</w:t>
      </w:r>
      <w:r>
        <w:rPr>
          <w:rFonts w:hint="eastAsia" w:ascii="Times New Roman" w:hAnsi="Times New Roman" w:eastAsia="仿宋_GB2312"/>
          <w:b w:val="0"/>
          <w:bCs w:val="0"/>
          <w:sz w:val="32"/>
          <w:szCs w:val="32"/>
          <w:lang w:val="en-US" w:eastAsia="zh-CN"/>
        </w:rPr>
        <w:t>总数，</w:t>
      </w:r>
      <w:r>
        <w:rPr>
          <w:rFonts w:hint="eastAsia" w:ascii="Times New Roman" w:hAnsi="Times New Roman" w:eastAsia="仿宋_GB2312"/>
          <w:b w:val="0"/>
          <w:bCs w:val="0"/>
          <w:sz w:val="32"/>
          <w:szCs w:val="32"/>
        </w:rPr>
        <w:t>在线精品课程</w:t>
      </w:r>
      <w:r>
        <w:rPr>
          <w:rFonts w:hint="eastAsia" w:ascii="Times New Roman" w:hAnsi="Times New Roman" w:eastAsia="仿宋_GB2312"/>
          <w:b w:val="0"/>
          <w:bCs w:val="0"/>
          <w:sz w:val="32"/>
          <w:szCs w:val="32"/>
          <w:lang w:val="en-US" w:eastAsia="zh-CN"/>
        </w:rPr>
        <w:t>即</w:t>
      </w:r>
      <w:r>
        <w:rPr>
          <w:rFonts w:hint="eastAsia" w:ascii="Times New Roman" w:hAnsi="Times New Roman" w:eastAsia="仿宋_GB2312"/>
          <w:sz w:val="32"/>
          <w:szCs w:val="32"/>
        </w:rPr>
        <w:t>精品在线课程，包括国家级、省级和校级在线精品课</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rPr>
        <w:t>在线精品课程课均学生数</w:t>
      </w:r>
      <w:r>
        <w:rPr>
          <w:rFonts w:hint="eastAsia" w:ascii="Times New Roman" w:hAnsi="Times New Roman" w:eastAsia="仿宋_GB2312"/>
          <w:sz w:val="32"/>
          <w:szCs w:val="32"/>
        </w:rPr>
        <w:t>为选择在线精品课程的学生累计数/在线精品课程门数</w:t>
      </w:r>
      <w:r>
        <w:rPr>
          <w:rFonts w:hint="eastAsia" w:ascii="Times New Roman" w:hAnsi="Times New Roman" w:eastAsia="仿宋_GB2312"/>
          <w:sz w:val="32"/>
          <w:szCs w:val="32"/>
          <w:lang w:eastAsia="zh-CN"/>
        </w:rPr>
        <w:t>；</w:t>
      </w:r>
      <w:r>
        <w:rPr>
          <w:rFonts w:hint="eastAsia" w:ascii="Times New Roman" w:hAnsi="Times New Roman" w:eastAsia="仿宋_GB2312" w:cstheme="minorBidi"/>
          <w:b w:val="0"/>
          <w:bCs w:val="0"/>
          <w:kern w:val="2"/>
          <w:sz w:val="32"/>
          <w:szCs w:val="32"/>
          <w:lang w:val="en-US" w:eastAsia="zh-CN" w:bidi="ar"/>
        </w:rPr>
        <w:t>分别统计</w:t>
      </w:r>
      <w:r>
        <w:rPr>
          <w:rFonts w:hint="eastAsia" w:ascii="Times New Roman" w:hAnsi="Times New Roman" w:eastAsia="仿宋_GB2312" w:cstheme="minorBidi"/>
          <w:b/>
          <w:bCs/>
          <w:kern w:val="2"/>
          <w:sz w:val="32"/>
          <w:szCs w:val="32"/>
          <w:lang w:val="en-US" w:eastAsia="zh-CN" w:bidi="ar"/>
        </w:rPr>
        <w:t>国家级、省级、校级</w:t>
      </w:r>
      <w:r>
        <w:rPr>
          <w:rFonts w:hint="eastAsia" w:ascii="Times New Roman" w:hAnsi="Times New Roman" w:eastAsia="仿宋_GB2312"/>
          <w:b/>
          <w:bCs/>
          <w:sz w:val="32"/>
          <w:szCs w:val="32"/>
          <w:lang w:bidi="ar"/>
        </w:rPr>
        <w:t>在线精品课程</w:t>
      </w:r>
      <w:r>
        <w:rPr>
          <w:rFonts w:hint="eastAsia" w:ascii="Times New Roman" w:hAnsi="Times New Roman" w:eastAsia="仿宋_GB2312" w:cstheme="minorBidi"/>
          <w:b/>
          <w:bCs/>
          <w:kern w:val="2"/>
          <w:sz w:val="32"/>
          <w:szCs w:val="32"/>
          <w:lang w:val="en-US" w:eastAsia="zh-CN" w:bidi="ar"/>
        </w:rPr>
        <w:t>数量</w:t>
      </w:r>
      <w:r>
        <w:rPr>
          <w:rFonts w:hint="eastAsia" w:ascii="Times New Roman" w:hAnsi="Times New Roman" w:eastAsia="仿宋_GB2312" w:cstheme="minorBidi"/>
          <w:b w:val="0"/>
          <w:bCs w:val="0"/>
          <w:kern w:val="2"/>
          <w:sz w:val="32"/>
          <w:szCs w:val="32"/>
          <w:lang w:val="en-US" w:eastAsia="zh-CN" w:bidi="ar"/>
        </w:rPr>
        <w:t>以及分别</w:t>
      </w:r>
      <w:r>
        <w:rPr>
          <w:rFonts w:hint="eastAsia" w:ascii="Times New Roman" w:hAnsi="Times New Roman" w:eastAsia="仿宋_GB2312" w:cstheme="minorBidi"/>
          <w:b/>
          <w:bCs/>
          <w:kern w:val="2"/>
          <w:sz w:val="32"/>
          <w:szCs w:val="32"/>
          <w:lang w:val="en-US" w:eastAsia="zh-CN" w:bidi="ar"/>
        </w:rPr>
        <w:t>接入</w:t>
      </w:r>
      <w:r>
        <w:rPr>
          <w:rFonts w:hint="eastAsia" w:ascii="Times New Roman" w:hAnsi="Times New Roman" w:eastAsia="仿宋_GB2312"/>
          <w:b/>
          <w:bCs/>
          <w:kern w:val="2"/>
          <w:sz w:val="32"/>
          <w:szCs w:val="32"/>
          <w:lang w:val="en-US" w:eastAsia="zh-CN"/>
        </w:rPr>
        <w:t>国家职业教育智慧教育平台</w:t>
      </w:r>
      <w:r>
        <w:rPr>
          <w:rFonts w:hint="eastAsia" w:ascii="Times New Roman" w:hAnsi="Times New Roman" w:eastAsia="仿宋_GB2312"/>
          <w:b w:val="0"/>
          <w:bCs w:val="0"/>
          <w:sz w:val="32"/>
          <w:szCs w:val="32"/>
          <w:lang w:eastAsia="zh-CN"/>
        </w:rPr>
        <w:t>（https://vocational.smartedu.cn/）“专业与课程服务中心”</w:t>
      </w:r>
      <w:r>
        <w:rPr>
          <w:rFonts w:hint="eastAsia" w:ascii="Times New Roman" w:hAnsi="Times New Roman" w:eastAsia="仿宋_GB2312"/>
          <w:b w:val="0"/>
          <w:bCs w:val="0"/>
          <w:sz w:val="32"/>
          <w:szCs w:val="32"/>
          <w:lang w:val="en-US" w:eastAsia="zh-CN"/>
        </w:rPr>
        <w:t>的在线精品课程数量。（接入国家职业教育智慧教育平台数据由“</w:t>
      </w:r>
      <w:r>
        <w:rPr>
          <w:rFonts w:hint="eastAsia" w:ascii="Times New Roman" w:hAnsi="Times New Roman" w:eastAsia="仿宋_GB2312"/>
          <w:b w:val="0"/>
          <w:bCs w:val="0"/>
          <w:kern w:val="2"/>
          <w:sz w:val="32"/>
          <w:szCs w:val="32"/>
          <w:lang w:val="en-US" w:eastAsia="zh-CN"/>
        </w:rPr>
        <w:t>国家职业教育智慧教育平台</w:t>
      </w:r>
      <w:r>
        <w:rPr>
          <w:rFonts w:hint="eastAsia" w:ascii="Times New Roman" w:hAnsi="Times New Roman" w:eastAsia="仿宋_GB2312"/>
          <w:b w:val="0"/>
          <w:bCs w:val="0"/>
          <w:sz w:val="32"/>
          <w:szCs w:val="32"/>
          <w:lang w:val="en-US" w:eastAsia="zh-CN"/>
        </w:rPr>
        <w:t>”</w:t>
      </w:r>
      <w:r>
        <w:rPr>
          <w:rFonts w:hint="eastAsia" w:ascii="Times New Roman" w:hAnsi="Times New Roman" w:eastAsia="仿宋_GB2312"/>
          <w:b w:val="0"/>
          <w:bCs w:val="0"/>
          <w:kern w:val="2"/>
          <w:sz w:val="32"/>
          <w:szCs w:val="32"/>
          <w:lang w:val="en-US" w:eastAsia="zh-CN"/>
        </w:rPr>
        <w:t>采集</w:t>
      </w:r>
      <w:r>
        <w:rPr>
          <w:rFonts w:hint="eastAsia" w:ascii="Times New Roman" w:hAnsi="Times New Roman" w:eastAsia="仿宋_GB2312"/>
          <w:b w:val="0"/>
          <w:bCs w:val="0"/>
          <w:sz w:val="32"/>
          <w:szCs w:val="32"/>
          <w:lang w:val="en-US" w:eastAsia="zh-CN"/>
        </w:rPr>
        <w:t>）</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val="0"/>
          <w:bCs w:val="0"/>
          <w:sz w:val="32"/>
          <w:szCs w:val="32"/>
        </w:rPr>
        <w:t>编写教材数</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lang w:val="en-US" w:eastAsia="zh-CN"/>
        </w:rPr>
        <w:t>指学校主编或参编正式出版的教材总数。</w:t>
      </w:r>
      <w:r>
        <w:rPr>
          <w:rFonts w:hint="eastAsia" w:ascii="Times New Roman" w:hAnsi="Times New Roman" w:eastAsia="仿宋_GB2312"/>
          <w:b w:val="0"/>
          <w:bCs w:val="0"/>
          <w:sz w:val="32"/>
          <w:szCs w:val="32"/>
        </w:rPr>
        <w:t>其中</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bCs/>
          <w:sz w:val="32"/>
          <w:szCs w:val="32"/>
        </w:rPr>
        <w:t>国家规划教材数量</w:t>
      </w:r>
      <w:r>
        <w:rPr>
          <w:rFonts w:hint="eastAsia" w:ascii="Times New Roman" w:hAnsi="Times New Roman" w:eastAsia="仿宋_GB2312"/>
          <w:b w:val="0"/>
          <w:bCs w:val="0"/>
          <w:sz w:val="32"/>
          <w:szCs w:val="32"/>
          <w:lang w:val="en-US" w:eastAsia="zh-CN"/>
        </w:rPr>
        <w:t>为已列入国家规划教材的数量；</w:t>
      </w:r>
      <w:r>
        <w:rPr>
          <w:rFonts w:hint="eastAsia" w:ascii="Times New Roman" w:hAnsi="Times New Roman" w:eastAsia="仿宋_GB2312"/>
          <w:b/>
          <w:bCs/>
          <w:sz w:val="32"/>
          <w:szCs w:val="32"/>
        </w:rPr>
        <w:t>校企合作编写教材数量</w:t>
      </w:r>
      <w:r>
        <w:rPr>
          <w:rFonts w:hint="eastAsia" w:ascii="Times New Roman" w:hAnsi="Times New Roman" w:eastAsia="仿宋_GB2312"/>
          <w:b w:val="0"/>
          <w:bCs w:val="0"/>
          <w:sz w:val="32"/>
          <w:szCs w:val="32"/>
          <w:lang w:val="en-US" w:eastAsia="zh-CN"/>
        </w:rPr>
        <w:t>为学校和企业合作编写的教材数量；</w:t>
      </w:r>
      <w:r>
        <w:rPr>
          <w:rFonts w:hint="eastAsia" w:ascii="Times New Roman" w:hAnsi="Times New Roman" w:eastAsia="仿宋_GB2312"/>
          <w:b/>
          <w:bCs/>
          <w:sz w:val="32"/>
          <w:szCs w:val="32"/>
        </w:rPr>
        <w:t>新形态教材数量</w:t>
      </w:r>
      <w:r>
        <w:rPr>
          <w:rFonts w:hint="eastAsia" w:ascii="Times New Roman" w:hAnsi="Times New Roman" w:eastAsia="仿宋_GB2312"/>
          <w:b w:val="0"/>
          <w:bCs w:val="0"/>
          <w:sz w:val="32"/>
          <w:szCs w:val="32"/>
          <w:lang w:val="en-US" w:eastAsia="zh-CN"/>
        </w:rPr>
        <w:t>为“纸质+数字化资源”教材数量，</w:t>
      </w:r>
      <w:r>
        <w:rPr>
          <w:rFonts w:hint="eastAsia" w:ascii="Times New Roman" w:hAnsi="Times New Roman" w:eastAsia="仿宋_GB2312"/>
          <w:b w:val="0"/>
          <w:bCs w:val="0"/>
          <w:sz w:val="32"/>
          <w:szCs w:val="32"/>
        </w:rPr>
        <w:t>新形态教材</w:t>
      </w:r>
      <w:r>
        <w:rPr>
          <w:rFonts w:hint="eastAsia" w:ascii="Times New Roman" w:hAnsi="Times New Roman" w:eastAsia="仿宋_GB2312"/>
          <w:b w:val="0"/>
          <w:bCs w:val="0"/>
          <w:sz w:val="32"/>
          <w:szCs w:val="32"/>
          <w:lang w:val="en-US" w:eastAsia="zh-CN"/>
        </w:rPr>
        <w:t>是基于移动互联网技术，以纸质教材为载体，嵌入数字资源，能够实现教材、课堂、教学资源三者融合，线上线下结合的教材出版新模式；</w:t>
      </w:r>
      <w:r>
        <w:rPr>
          <w:rFonts w:hint="eastAsia" w:ascii="Times New Roman" w:hAnsi="Times New Roman" w:eastAsia="仿宋_GB2312"/>
          <w:b/>
          <w:bCs/>
          <w:sz w:val="32"/>
          <w:szCs w:val="32"/>
          <w:lang w:val="en-US" w:eastAsia="zh-CN"/>
        </w:rPr>
        <w:t>接入国家智慧教育平台数量为已接入</w:t>
      </w:r>
      <w:r>
        <w:rPr>
          <w:rFonts w:hint="eastAsia" w:ascii="Times New Roman" w:hAnsi="Times New Roman" w:eastAsia="仿宋_GB2312"/>
          <w:b/>
          <w:bCs/>
          <w:kern w:val="2"/>
          <w:sz w:val="32"/>
          <w:szCs w:val="32"/>
          <w:lang w:val="en-US" w:eastAsia="zh-CN"/>
        </w:rPr>
        <w:t>国家职业教育智慧教育平台</w:t>
      </w:r>
      <w:r>
        <w:rPr>
          <w:rFonts w:hint="eastAsia" w:ascii="Times New Roman" w:hAnsi="Times New Roman" w:eastAsia="仿宋_GB2312"/>
          <w:b w:val="0"/>
          <w:bCs w:val="0"/>
          <w:sz w:val="32"/>
          <w:szCs w:val="32"/>
          <w:lang w:eastAsia="zh-CN"/>
        </w:rPr>
        <w:t>（https://vocational.smartedu.cn/）“教材资源中心”</w:t>
      </w:r>
      <w:r>
        <w:rPr>
          <w:rFonts w:hint="eastAsia" w:ascii="Times New Roman" w:hAnsi="Times New Roman" w:eastAsia="仿宋_GB2312"/>
          <w:b w:val="0"/>
          <w:bCs w:val="0"/>
          <w:sz w:val="32"/>
          <w:szCs w:val="32"/>
          <w:lang w:val="en-US" w:eastAsia="zh-CN"/>
        </w:rPr>
        <w:t>的教材数量。（接入国家职业教育智慧教育平台数据由“</w:t>
      </w:r>
      <w:r>
        <w:rPr>
          <w:rFonts w:hint="eastAsia" w:ascii="Times New Roman" w:hAnsi="Times New Roman" w:eastAsia="仿宋_GB2312"/>
          <w:b w:val="0"/>
          <w:bCs w:val="0"/>
          <w:kern w:val="2"/>
          <w:sz w:val="32"/>
          <w:szCs w:val="32"/>
          <w:lang w:val="en-US" w:eastAsia="zh-CN"/>
        </w:rPr>
        <w:t>国家职业教育智慧教育平台</w:t>
      </w:r>
      <w:r>
        <w:rPr>
          <w:rFonts w:hint="eastAsia" w:ascii="Times New Roman" w:hAnsi="Times New Roman" w:eastAsia="仿宋_GB2312"/>
          <w:b w:val="0"/>
          <w:bCs w:val="0"/>
          <w:sz w:val="32"/>
          <w:szCs w:val="32"/>
          <w:lang w:val="en-US" w:eastAsia="zh-CN"/>
        </w:rPr>
        <w:t>”</w:t>
      </w:r>
      <w:r>
        <w:rPr>
          <w:rFonts w:hint="eastAsia" w:ascii="Times New Roman" w:hAnsi="Times New Roman" w:eastAsia="仿宋_GB2312"/>
          <w:b w:val="0"/>
          <w:bCs w:val="0"/>
          <w:kern w:val="2"/>
          <w:sz w:val="32"/>
          <w:szCs w:val="32"/>
          <w:lang w:val="en-US" w:eastAsia="zh-CN"/>
        </w:rPr>
        <w:t>采集</w:t>
      </w:r>
      <w:r>
        <w:rPr>
          <w:rFonts w:hint="eastAsia" w:ascii="Times New Roman" w:hAnsi="Times New Roman" w:eastAsia="仿宋_GB2312"/>
          <w:b w:val="0"/>
          <w:bCs w:val="0"/>
          <w:sz w:val="32"/>
          <w:szCs w:val="32"/>
          <w:lang w:val="en-US" w:eastAsia="zh-CN"/>
        </w:rPr>
        <w:t>）</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互联网出口带宽</w:t>
      </w:r>
      <w:r>
        <w:rPr>
          <w:rFonts w:hint="eastAsia" w:ascii="Times New Roman" w:hAnsi="Times New Roman" w:eastAsia="仿宋_GB2312"/>
          <w:sz w:val="32"/>
          <w:szCs w:val="32"/>
        </w:rPr>
        <w:t>：指校园网接入互联网的出口带宽之和。通过城域网形成逻辑校园网的，按学校接入城域网带宽填写；未建立校园网但已接入互联网的，填写接入互联网带宽。</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校园网主干最大带宽</w:t>
      </w:r>
      <w:r>
        <w:rPr>
          <w:rFonts w:hint="eastAsia" w:ascii="Times New Roman" w:hAnsi="Times New Roman" w:eastAsia="仿宋_GB2312"/>
          <w:b/>
          <w:bCs/>
          <w:sz w:val="32"/>
          <w:szCs w:val="32"/>
          <w:lang w:eastAsia="zh-CN"/>
        </w:rPr>
        <w:t>：</w:t>
      </w:r>
      <w:r>
        <w:rPr>
          <w:rFonts w:hint="eastAsia" w:ascii="Times New Roman" w:hAnsi="Times New Roman" w:eastAsia="仿宋_GB2312"/>
          <w:sz w:val="32"/>
          <w:szCs w:val="32"/>
        </w:rPr>
        <w:t>指学校内部局域网络环境主干带宽。通常分为10Mbps、100Mbps、1000Mbps、10000Mbps。</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生均校内实践教学工位数</w:t>
      </w:r>
      <w:r>
        <w:rPr>
          <w:rFonts w:hint="eastAsia" w:ascii="Times New Roman" w:hAnsi="Times New Roman" w:eastAsia="仿宋_GB2312"/>
          <w:b/>
          <w:bCs/>
          <w:sz w:val="32"/>
          <w:szCs w:val="32"/>
          <w:lang w:eastAsia="zh-CN"/>
        </w:rPr>
        <w:t>：</w:t>
      </w:r>
      <w:r>
        <w:rPr>
          <w:rFonts w:hint="eastAsia" w:ascii="仿宋_GB2312" w:hAnsi="仿宋_GB2312" w:eastAsia="仿宋_GB2312" w:cs="仿宋_GB2312"/>
          <w:sz w:val="32"/>
          <w:szCs w:val="32"/>
        </w:rPr>
        <w:t>即</w:t>
      </w:r>
      <w:r>
        <w:rPr>
          <w:rFonts w:hint="eastAsia" w:ascii="Times New Roman" w:hAnsi="Times New Roman" w:eastAsia="仿宋_GB2312"/>
          <w:sz w:val="32"/>
          <w:szCs w:val="32"/>
        </w:rPr>
        <w:t>校内实践教学工位总数/</w:t>
      </w:r>
      <w:r>
        <w:rPr>
          <w:rFonts w:hint="eastAsia" w:ascii="Times New Roman" w:hAnsi="Times New Roman" w:eastAsia="仿宋_GB2312" w:cs="Times New Roman"/>
          <w:sz w:val="32"/>
          <w:szCs w:val="32"/>
        </w:rPr>
        <w:t>全日制在校生人数</w:t>
      </w:r>
      <w:r>
        <w:rPr>
          <w:rFonts w:hint="eastAsia" w:ascii="Times New Roman" w:hAnsi="Times New Roman" w:eastAsia="仿宋_GB2312"/>
          <w:sz w:val="32"/>
          <w:szCs w:val="32"/>
        </w:rPr>
        <w:t>。</w:t>
      </w:r>
    </w:p>
    <w:p>
      <w:pPr>
        <w:numPr>
          <w:ilvl w:val="0"/>
          <w:numId w:val="6"/>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生均教学科研仪器设备值</w:t>
      </w:r>
      <w:r>
        <w:rPr>
          <w:rFonts w:hint="eastAsia" w:ascii="Times New Roman" w:hAnsi="Times New Roman" w:eastAsia="仿宋_GB2312"/>
          <w:b/>
          <w:bCs/>
          <w:sz w:val="32"/>
          <w:szCs w:val="32"/>
          <w:lang w:eastAsia="zh-CN"/>
        </w:rPr>
        <w:t>：</w:t>
      </w:r>
      <w:r>
        <w:rPr>
          <w:rFonts w:hint="eastAsia" w:ascii="仿宋_GB2312" w:hAnsi="仿宋_GB2312" w:eastAsia="仿宋_GB2312" w:cs="仿宋_GB2312"/>
          <w:sz w:val="32"/>
          <w:szCs w:val="32"/>
        </w:rPr>
        <w:t>即</w:t>
      </w:r>
      <w:r>
        <w:rPr>
          <w:rFonts w:hint="eastAsia" w:ascii="Times New Roman" w:hAnsi="Times New Roman" w:eastAsia="仿宋_GB2312"/>
          <w:sz w:val="32"/>
          <w:szCs w:val="32"/>
        </w:rPr>
        <w:t>学校教学科研实习仪器设备资产值/</w:t>
      </w:r>
      <w:r>
        <w:rPr>
          <w:rFonts w:hint="eastAsia" w:ascii="Times New Roman" w:hAnsi="Times New Roman" w:eastAsia="仿宋_GB2312" w:cs="Times New Roman"/>
          <w:sz w:val="32"/>
          <w:szCs w:val="32"/>
        </w:rPr>
        <w:t>全日制在校生人数</w:t>
      </w:r>
      <w:r>
        <w:rPr>
          <w:rFonts w:hint="eastAsia" w:ascii="Times New Roman" w:hAnsi="Times New Roman" w:eastAsia="仿宋_GB2312"/>
          <w:sz w:val="32"/>
          <w:szCs w:val="32"/>
        </w:rPr>
        <w:t>。教学科研实习仪器设备资产值指学校固定资产中用于教学、实验、科研、实习等仪器设备的资产值，资产值指固定资产账面值。</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五、“国际影响表”指标及相关内涵说明</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“国际影响表”系反映高等职业学校国际合作和发挥影响力的管理评价工具，共</w:t>
      </w:r>
      <w:r>
        <w:rPr>
          <w:rFonts w:hint="eastAsia" w:ascii="Times New Roman" w:hAnsi="Times New Roman" w:eastAsia="仿宋_GB2312" w:cs="Times New Roman"/>
          <w:sz w:val="32"/>
          <w:szCs w:val="32"/>
        </w:rPr>
        <w:t>采集指标7个，包括字段1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个（表4）。</w:t>
      </w:r>
    </w:p>
    <w:p>
      <w:pPr>
        <w:jc w:val="center"/>
        <w:outlineLvl w:val="2"/>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表4 </w:t>
      </w:r>
      <w:r>
        <w:rPr>
          <w:rFonts w:hint="eastAsia" w:ascii="Times New Roman" w:hAnsi="Times New Roman" w:eastAsia="方正小标宋简体" w:cs="Times New Roman"/>
          <w:sz w:val="32"/>
          <w:szCs w:val="32"/>
        </w:rPr>
        <w:t xml:space="preserve"> </w:t>
      </w:r>
      <w:r>
        <w:rPr>
          <w:rFonts w:ascii="Times New Roman" w:hAnsi="Times New Roman" w:eastAsia="方正小标宋简体" w:cs="Times New Roman"/>
          <w:sz w:val="32"/>
          <w:szCs w:val="32"/>
        </w:rPr>
        <w:t>国际影响表</w:t>
      </w:r>
    </w:p>
    <w:p>
      <w:pPr>
        <w:jc w:val="left"/>
        <w:outlineLvl w:val="3"/>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65"/>
        <w:gridCol w:w="1755"/>
        <w:gridCol w:w="1891"/>
        <w:gridCol w:w="821"/>
        <w:gridCol w:w="126"/>
        <w:gridCol w:w="861"/>
        <w:gridCol w:w="949"/>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5011" w:type="dxa"/>
            <w:gridSpan w:val="3"/>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指标</w:t>
            </w:r>
          </w:p>
        </w:tc>
        <w:tc>
          <w:tcPr>
            <w:tcW w:w="821"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单位</w:t>
            </w:r>
          </w:p>
        </w:tc>
        <w:tc>
          <w:tcPr>
            <w:tcW w:w="987" w:type="dxa"/>
            <w:gridSpan w:val="2"/>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2022年</w:t>
            </w:r>
          </w:p>
        </w:tc>
        <w:tc>
          <w:tcPr>
            <w:tcW w:w="970" w:type="dxa"/>
            <w:gridSpan w:val="2"/>
            <w:vAlign w:val="center"/>
          </w:tcPr>
          <w:p>
            <w:pPr>
              <w:jc w:val="center"/>
              <w:outlineLvl w:val="1"/>
              <w:rPr>
                <w:rFonts w:ascii="Times New Roman" w:hAnsi="Times New Roman" w:eastAsia="黑体" w:cs="Times New Roman"/>
                <w:sz w:val="24"/>
                <w:szCs w:val="24"/>
              </w:rPr>
            </w:pPr>
            <w:r>
              <w:rPr>
                <w:rFonts w:hint="eastAsia"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restart"/>
            <w:vAlign w:val="center"/>
          </w:tcPr>
          <w:p>
            <w:pPr>
              <w:jc w:val="center"/>
              <w:outlineLvl w:val="1"/>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011" w:type="dxa"/>
            <w:gridSpan w:val="3"/>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接收国（境）外留学生专业数</w:t>
            </w:r>
          </w:p>
        </w:tc>
        <w:tc>
          <w:tcPr>
            <w:tcW w:w="821"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kern w:val="0"/>
                <w:sz w:val="24"/>
                <w:szCs w:val="24"/>
              </w:rPr>
              <w:t>个</w:t>
            </w:r>
          </w:p>
        </w:tc>
        <w:tc>
          <w:tcPr>
            <w:tcW w:w="987" w:type="dxa"/>
            <w:gridSpan w:val="2"/>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5011" w:type="dxa"/>
            <w:gridSpan w:val="3"/>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接收国（境）外留学生人数</w:t>
            </w:r>
          </w:p>
        </w:tc>
        <w:tc>
          <w:tcPr>
            <w:tcW w:w="821"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w:t>
            </w:r>
          </w:p>
        </w:tc>
        <w:tc>
          <w:tcPr>
            <w:tcW w:w="987" w:type="dxa"/>
            <w:gridSpan w:val="2"/>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5011" w:type="dxa"/>
            <w:gridSpan w:val="3"/>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开发并被国（境）外采用的课程标准数</w:t>
            </w:r>
          </w:p>
        </w:tc>
        <w:tc>
          <w:tcPr>
            <w:tcW w:w="821"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个</w:t>
            </w:r>
          </w:p>
        </w:tc>
        <w:tc>
          <w:tcPr>
            <w:tcW w:w="987" w:type="dxa"/>
            <w:gridSpan w:val="2"/>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15"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5011" w:type="dxa"/>
            <w:gridSpan w:val="3"/>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在</w:t>
            </w:r>
            <w:r>
              <w:rPr>
                <w:rFonts w:ascii="Times New Roman" w:hAnsi="Times New Roman" w:eastAsia="仿宋_GB2312" w:cs="Times New Roman"/>
                <w:color w:val="000000"/>
                <w:kern w:val="0"/>
                <w:sz w:val="24"/>
                <w:szCs w:val="24"/>
                <w:lang w:bidi="ar"/>
              </w:rPr>
              <w:t>国（境）外开办学校</w:t>
            </w:r>
            <w:r>
              <w:rPr>
                <w:rFonts w:hint="eastAsia" w:ascii="Times New Roman" w:hAnsi="Times New Roman" w:eastAsia="仿宋_GB2312" w:cs="Times New Roman"/>
                <w:color w:val="000000"/>
                <w:kern w:val="0"/>
                <w:sz w:val="24"/>
                <w:szCs w:val="24"/>
                <w:lang w:bidi="ar"/>
              </w:rPr>
              <w:t>数</w:t>
            </w:r>
          </w:p>
        </w:tc>
        <w:tc>
          <w:tcPr>
            <w:tcW w:w="821"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所</w:t>
            </w:r>
          </w:p>
        </w:tc>
        <w:tc>
          <w:tcPr>
            <w:tcW w:w="987" w:type="dxa"/>
            <w:gridSpan w:val="2"/>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5011" w:type="dxa"/>
            <w:gridSpan w:val="3"/>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其中：专业数量</w:t>
            </w:r>
          </w:p>
        </w:tc>
        <w:tc>
          <w:tcPr>
            <w:tcW w:w="821" w:type="dxa"/>
            <w:vAlign w:val="center"/>
          </w:tcPr>
          <w:p>
            <w:pPr>
              <w:widowControl/>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个</w:t>
            </w:r>
          </w:p>
        </w:tc>
        <w:tc>
          <w:tcPr>
            <w:tcW w:w="987" w:type="dxa"/>
            <w:gridSpan w:val="2"/>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outlineLvl w:val="2"/>
              <w:rPr>
                <w:rFonts w:ascii="Times New Roman" w:hAnsi="Times New Roman" w:eastAsia="方正小标宋简体" w:cs="Times New Roman"/>
                <w:sz w:val="32"/>
                <w:szCs w:val="32"/>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5011" w:type="dxa"/>
            <w:gridSpan w:val="3"/>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      在校生数</w:t>
            </w:r>
          </w:p>
        </w:tc>
        <w:tc>
          <w:tcPr>
            <w:tcW w:w="821"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w:t>
            </w:r>
          </w:p>
        </w:tc>
        <w:tc>
          <w:tcPr>
            <w:tcW w:w="987" w:type="dxa"/>
            <w:gridSpan w:val="2"/>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5011" w:type="dxa"/>
            <w:gridSpan w:val="3"/>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中外合作办学专业数</w:t>
            </w:r>
          </w:p>
        </w:tc>
        <w:tc>
          <w:tcPr>
            <w:tcW w:w="821"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个</w:t>
            </w:r>
          </w:p>
        </w:tc>
        <w:tc>
          <w:tcPr>
            <w:tcW w:w="987" w:type="dxa"/>
            <w:gridSpan w:val="2"/>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vMerge w:val="continue"/>
            <w:vAlign w:val="center"/>
          </w:tcPr>
          <w:p>
            <w:pPr>
              <w:jc w:val="center"/>
              <w:outlineLvl w:val="1"/>
              <w:rPr>
                <w:rFonts w:ascii="Times New Roman" w:hAnsi="Times New Roman" w:eastAsia="仿宋_GB2312" w:cs="Times New Roman"/>
                <w:sz w:val="24"/>
                <w:szCs w:val="24"/>
              </w:rPr>
            </w:pPr>
          </w:p>
        </w:tc>
        <w:tc>
          <w:tcPr>
            <w:tcW w:w="5011" w:type="dxa"/>
            <w:gridSpan w:val="3"/>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其中：在校生数</w:t>
            </w:r>
          </w:p>
        </w:tc>
        <w:tc>
          <w:tcPr>
            <w:tcW w:w="821"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w:t>
            </w:r>
          </w:p>
        </w:tc>
        <w:tc>
          <w:tcPr>
            <w:tcW w:w="987" w:type="dxa"/>
            <w:gridSpan w:val="2"/>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15"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5011" w:type="dxa"/>
            <w:gridSpan w:val="3"/>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专任教师赴国（境）外指导和开展培训时间</w:t>
            </w:r>
          </w:p>
        </w:tc>
        <w:tc>
          <w:tcPr>
            <w:tcW w:w="821"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人日</w:t>
            </w:r>
          </w:p>
        </w:tc>
        <w:tc>
          <w:tcPr>
            <w:tcW w:w="987" w:type="dxa"/>
            <w:gridSpan w:val="2"/>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15"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5011" w:type="dxa"/>
            <w:gridSpan w:val="3"/>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在国（境）外组织担任职务的专任教师数</w:t>
            </w:r>
          </w:p>
        </w:tc>
        <w:tc>
          <w:tcPr>
            <w:tcW w:w="821"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w:t>
            </w:r>
          </w:p>
        </w:tc>
        <w:tc>
          <w:tcPr>
            <w:tcW w:w="987" w:type="dxa"/>
            <w:gridSpan w:val="2"/>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tcBorders>
              <w:bottom w:val="double" w:color="auto" w:sz="4" w:space="0"/>
            </w:tcBorders>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5011" w:type="dxa"/>
            <w:gridSpan w:val="3"/>
            <w:tcBorders>
              <w:bottom w:val="double" w:color="auto" w:sz="4" w:space="0"/>
            </w:tcBorders>
            <w:vAlign w:val="center"/>
          </w:tcPr>
          <w:p>
            <w:pPr>
              <w:widowControl/>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国（境）外技能大赛获奖数量</w:t>
            </w:r>
          </w:p>
        </w:tc>
        <w:tc>
          <w:tcPr>
            <w:tcW w:w="821" w:type="dxa"/>
            <w:tcBorders>
              <w:bottom w:val="double" w:color="auto" w:sz="4" w:space="0"/>
            </w:tcBorders>
            <w:vAlign w:val="center"/>
          </w:tcPr>
          <w:p>
            <w:pPr>
              <w:widowControl/>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w:t>
            </w:r>
          </w:p>
        </w:tc>
        <w:tc>
          <w:tcPr>
            <w:tcW w:w="987" w:type="dxa"/>
            <w:gridSpan w:val="2"/>
            <w:tcBorders>
              <w:bottom w:val="double" w:color="auto" w:sz="4" w:space="0"/>
            </w:tcBorders>
          </w:tcPr>
          <w:p>
            <w:pPr>
              <w:widowControl/>
              <w:jc w:val="center"/>
              <w:textAlignment w:val="center"/>
              <w:rPr>
                <w:rFonts w:ascii="Times New Roman" w:hAnsi="Times New Roman" w:eastAsia="仿宋_GB2312" w:cs="Times New Roman"/>
                <w:color w:val="000000"/>
                <w:kern w:val="0"/>
                <w:sz w:val="24"/>
                <w:szCs w:val="24"/>
                <w:lang w:bidi="ar"/>
              </w:rPr>
            </w:pPr>
          </w:p>
        </w:tc>
        <w:tc>
          <w:tcPr>
            <w:tcW w:w="970" w:type="dxa"/>
            <w:gridSpan w:val="2"/>
            <w:tcBorders>
              <w:bottom w:val="double" w:color="auto" w:sz="4" w:space="0"/>
            </w:tcBorders>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学校填报</w:t>
            </w:r>
          </w:p>
          <w:p>
            <w:pPr>
              <w:widowControl/>
              <w:ind w:left="-105" w:leftChars="-50" w:right="-105" w:rightChars="-50"/>
              <w:jc w:val="center"/>
              <w:outlineLvl w:val="2"/>
              <w:rPr>
                <w:rFonts w:ascii="Times New Roman" w:hAnsi="Times New Roman" w:eastAsia="方正小标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04" w:type="dxa"/>
            <w:gridSpan w:val="9"/>
            <w:vAlign w:val="center"/>
          </w:tcPr>
          <w:p>
            <w:pPr>
              <w:ind w:left="-105" w:leftChars="-50" w:right="-105" w:rightChars="-50"/>
              <w:outlineLvl w:val="1"/>
              <w:rPr>
                <w:rFonts w:ascii="Times New Roman" w:hAnsi="Times New Roman" w:eastAsia="黑体" w:cs="Times New Roman"/>
                <w:szCs w:val="21"/>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说明①：请逐一列出在国（境）外组织担任职务的专任教师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exact"/>
          <w:jc w:val="center"/>
        </w:trPr>
        <w:tc>
          <w:tcPr>
            <w:tcW w:w="715" w:type="dxa"/>
            <w:vAlign w:val="center"/>
          </w:tcPr>
          <w:p>
            <w:pPr>
              <w:jc w:val="center"/>
              <w:outlineLvl w:val="1"/>
              <w:rPr>
                <w:rFonts w:ascii="Times New Roman" w:hAnsi="Times New Roman" w:eastAsia="黑体" w:cs="Times New Roman"/>
                <w:szCs w:val="21"/>
              </w:rPr>
            </w:pPr>
            <w:r>
              <w:rPr>
                <w:rFonts w:hint="eastAsia" w:ascii="Times New Roman" w:hAnsi="Times New Roman" w:eastAsia="黑体" w:cs="Times New Roman"/>
                <w:szCs w:val="21"/>
              </w:rPr>
              <w:t>序号</w:t>
            </w:r>
          </w:p>
        </w:tc>
        <w:tc>
          <w:tcPr>
            <w:tcW w:w="1365" w:type="dxa"/>
            <w:vAlign w:val="center"/>
          </w:tcPr>
          <w:p>
            <w:pPr>
              <w:jc w:val="center"/>
              <w:outlineLvl w:val="1"/>
              <w:rPr>
                <w:rFonts w:ascii="Times New Roman" w:hAnsi="Times New Roman" w:eastAsia="黑体" w:cs="Times New Roman"/>
                <w:szCs w:val="21"/>
              </w:rPr>
            </w:pPr>
            <w:r>
              <w:rPr>
                <w:rFonts w:hint="eastAsia" w:ascii="Times New Roman" w:hAnsi="Times New Roman" w:eastAsia="黑体" w:cs="Times New Roman"/>
                <w:szCs w:val="21"/>
              </w:rPr>
              <w:t>姓名</w:t>
            </w:r>
          </w:p>
        </w:tc>
        <w:tc>
          <w:tcPr>
            <w:tcW w:w="1755" w:type="dxa"/>
            <w:vAlign w:val="center"/>
          </w:tcPr>
          <w:p>
            <w:pPr>
              <w:ind w:left="-105" w:leftChars="-50" w:right="-105" w:rightChars="-50"/>
              <w:jc w:val="center"/>
              <w:outlineLvl w:val="1"/>
              <w:rPr>
                <w:rFonts w:ascii="Times New Roman" w:hAnsi="Times New Roman" w:eastAsia="黑体" w:cs="Times New Roman"/>
                <w:szCs w:val="21"/>
              </w:rPr>
            </w:pPr>
            <w:r>
              <w:rPr>
                <w:rFonts w:hint="eastAsia" w:ascii="Times New Roman" w:hAnsi="Times New Roman" w:eastAsia="黑体" w:cs="Times New Roman"/>
                <w:szCs w:val="21"/>
              </w:rPr>
              <w:t>专业领域</w:t>
            </w:r>
          </w:p>
        </w:tc>
        <w:tc>
          <w:tcPr>
            <w:tcW w:w="2838" w:type="dxa"/>
            <w:gridSpan w:val="3"/>
            <w:vAlign w:val="center"/>
          </w:tcPr>
          <w:p>
            <w:pPr>
              <w:ind w:left="-105" w:leftChars="-50" w:right="-105" w:rightChars="-50"/>
              <w:jc w:val="center"/>
              <w:outlineLvl w:val="1"/>
              <w:rPr>
                <w:rFonts w:ascii="Times New Roman" w:hAnsi="Times New Roman" w:eastAsia="黑体" w:cs="Times New Roman"/>
                <w:szCs w:val="21"/>
              </w:rPr>
            </w:pPr>
            <w:r>
              <w:rPr>
                <w:rFonts w:hint="eastAsia" w:ascii="Times New Roman" w:hAnsi="Times New Roman" w:eastAsia="黑体" w:cs="Times New Roman"/>
                <w:szCs w:val="21"/>
              </w:rPr>
              <w:t>国（境）外组织名称</w:t>
            </w:r>
          </w:p>
        </w:tc>
        <w:tc>
          <w:tcPr>
            <w:tcW w:w="1810" w:type="dxa"/>
            <w:gridSpan w:val="2"/>
            <w:vAlign w:val="center"/>
          </w:tcPr>
          <w:p>
            <w:pPr>
              <w:ind w:left="-105" w:leftChars="-50" w:right="-105" w:rightChars="-50"/>
              <w:jc w:val="center"/>
              <w:outlineLvl w:val="1"/>
              <w:rPr>
                <w:rFonts w:ascii="Times New Roman" w:hAnsi="Times New Roman" w:eastAsia="黑体" w:cs="Times New Roman"/>
                <w:szCs w:val="21"/>
              </w:rPr>
            </w:pPr>
            <w:r>
              <w:rPr>
                <w:rFonts w:hint="eastAsia" w:ascii="Times New Roman" w:hAnsi="Times New Roman" w:eastAsia="黑体" w:cs="Times New Roman"/>
                <w:szCs w:val="21"/>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exact"/>
          <w:jc w:val="center"/>
        </w:trPr>
        <w:tc>
          <w:tcPr>
            <w:tcW w:w="715" w:type="dxa"/>
            <w:vAlign w:val="center"/>
          </w:tcPr>
          <w:p>
            <w:pPr>
              <w:jc w:val="center"/>
              <w:outlineLvl w:val="1"/>
              <w:rPr>
                <w:rFonts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365" w:type="dxa"/>
            <w:vAlign w:val="center"/>
          </w:tcPr>
          <w:p>
            <w:pPr>
              <w:widowControl/>
              <w:textAlignment w:val="center"/>
              <w:rPr>
                <w:rFonts w:ascii="Times New Roman" w:hAnsi="Times New Roman" w:eastAsia="仿宋_GB2312"/>
                <w:kern w:val="0"/>
                <w:sz w:val="24"/>
                <w:szCs w:val="24"/>
              </w:rPr>
            </w:pPr>
          </w:p>
        </w:tc>
        <w:tc>
          <w:tcPr>
            <w:tcW w:w="1755" w:type="dxa"/>
            <w:vAlign w:val="center"/>
          </w:tcPr>
          <w:p>
            <w:pPr>
              <w:widowControl/>
              <w:textAlignment w:val="center"/>
              <w:rPr>
                <w:rFonts w:ascii="Times New Roman" w:hAnsi="Times New Roman" w:eastAsia="仿宋_GB2312"/>
                <w:kern w:val="0"/>
                <w:sz w:val="24"/>
                <w:szCs w:val="24"/>
              </w:rPr>
            </w:pPr>
          </w:p>
        </w:tc>
        <w:tc>
          <w:tcPr>
            <w:tcW w:w="2838" w:type="dxa"/>
            <w:gridSpan w:val="3"/>
            <w:vAlign w:val="center"/>
          </w:tcPr>
          <w:p>
            <w:pPr>
              <w:widowControl/>
              <w:textAlignment w:val="center"/>
              <w:rPr>
                <w:rFonts w:ascii="Times New Roman" w:hAnsi="Times New Roman" w:eastAsia="仿宋_GB2312"/>
                <w:kern w:val="0"/>
                <w:sz w:val="24"/>
                <w:szCs w:val="24"/>
              </w:rPr>
            </w:pPr>
          </w:p>
        </w:tc>
        <w:tc>
          <w:tcPr>
            <w:tcW w:w="1810" w:type="dxa"/>
            <w:gridSpan w:val="2"/>
            <w:vAlign w:val="center"/>
          </w:tcPr>
          <w:p>
            <w:pPr>
              <w:widowControl/>
              <w:textAlignment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exact"/>
          <w:jc w:val="center"/>
        </w:trPr>
        <w:tc>
          <w:tcPr>
            <w:tcW w:w="715" w:type="dxa"/>
            <w:vAlign w:val="center"/>
          </w:tcPr>
          <w:p>
            <w:pPr>
              <w:jc w:val="center"/>
              <w:outlineLvl w:val="1"/>
              <w:rPr>
                <w:rFonts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1365" w:type="dxa"/>
            <w:vAlign w:val="center"/>
          </w:tcPr>
          <w:p>
            <w:pPr>
              <w:widowControl/>
              <w:textAlignment w:val="center"/>
              <w:rPr>
                <w:rFonts w:ascii="Times New Roman" w:hAnsi="Times New Roman" w:eastAsia="仿宋_GB2312"/>
                <w:kern w:val="0"/>
                <w:sz w:val="24"/>
                <w:szCs w:val="24"/>
              </w:rPr>
            </w:pPr>
          </w:p>
        </w:tc>
        <w:tc>
          <w:tcPr>
            <w:tcW w:w="1755" w:type="dxa"/>
            <w:vAlign w:val="center"/>
          </w:tcPr>
          <w:p>
            <w:pPr>
              <w:widowControl/>
              <w:textAlignment w:val="center"/>
              <w:rPr>
                <w:rFonts w:ascii="Times New Roman" w:hAnsi="Times New Roman" w:eastAsia="仿宋_GB2312"/>
                <w:kern w:val="0"/>
                <w:sz w:val="24"/>
                <w:szCs w:val="24"/>
              </w:rPr>
            </w:pPr>
          </w:p>
        </w:tc>
        <w:tc>
          <w:tcPr>
            <w:tcW w:w="2838" w:type="dxa"/>
            <w:gridSpan w:val="3"/>
            <w:vAlign w:val="center"/>
          </w:tcPr>
          <w:p>
            <w:pPr>
              <w:widowControl/>
              <w:textAlignment w:val="center"/>
              <w:rPr>
                <w:rFonts w:ascii="Times New Roman" w:hAnsi="Times New Roman" w:eastAsia="仿宋_GB2312"/>
                <w:kern w:val="0"/>
                <w:sz w:val="24"/>
                <w:szCs w:val="24"/>
              </w:rPr>
            </w:pPr>
          </w:p>
        </w:tc>
        <w:tc>
          <w:tcPr>
            <w:tcW w:w="1810" w:type="dxa"/>
            <w:gridSpan w:val="2"/>
            <w:vAlign w:val="center"/>
          </w:tcPr>
          <w:p>
            <w:pPr>
              <w:widowControl/>
              <w:textAlignment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1" w:type="dxa"/>
          <w:trHeight w:val="397" w:hRule="exact"/>
          <w:jc w:val="center"/>
        </w:trPr>
        <w:tc>
          <w:tcPr>
            <w:tcW w:w="8483" w:type="dxa"/>
            <w:gridSpan w:val="8"/>
            <w:vAlign w:val="center"/>
          </w:tcPr>
          <w:p>
            <w:pPr>
              <w:widowControl/>
              <w:textAlignment w:val="center"/>
              <w:rPr>
                <w:rFonts w:ascii="Times New Roman" w:hAnsi="Times New Roman" w:eastAsia="仿宋_GB2312"/>
                <w:kern w:val="0"/>
                <w:sz w:val="24"/>
                <w:szCs w:val="24"/>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说明②：请逐一列出师生</w:t>
            </w:r>
            <w:r>
              <w:rPr>
                <w:rFonts w:ascii="仿宋_GB2312" w:hAnsi="仿宋_GB2312" w:eastAsia="仿宋_GB2312" w:cs="仿宋_GB2312"/>
                <w:b/>
                <w:bCs/>
                <w:color w:val="000000" w:themeColor="text1"/>
                <w:kern w:val="0"/>
                <w:sz w:val="24"/>
                <w:szCs w:val="24"/>
                <w:lang w:bidi="ar"/>
                <w14:textFill>
                  <w14:solidFill>
                    <w14:schemeClr w14:val="tx1"/>
                  </w14:solidFill>
                </w14:textFill>
              </w:rPr>
              <w:t>国（境）外技能大赛获奖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exact"/>
          <w:jc w:val="center"/>
        </w:trPr>
        <w:tc>
          <w:tcPr>
            <w:tcW w:w="715" w:type="dxa"/>
            <w:vAlign w:val="center"/>
          </w:tcPr>
          <w:p>
            <w:pPr>
              <w:jc w:val="center"/>
              <w:outlineLvl w:val="1"/>
              <w:rPr>
                <w:rFonts w:ascii="Times New Roman" w:hAnsi="Times New Roman" w:eastAsia="黑体" w:cs="Times New Roman"/>
                <w:szCs w:val="21"/>
              </w:rPr>
            </w:pPr>
            <w:r>
              <w:rPr>
                <w:rFonts w:hint="eastAsia" w:ascii="Times New Roman" w:hAnsi="Times New Roman" w:eastAsia="黑体" w:cs="Times New Roman"/>
                <w:szCs w:val="21"/>
              </w:rPr>
              <w:t>序号</w:t>
            </w:r>
          </w:p>
        </w:tc>
        <w:tc>
          <w:tcPr>
            <w:tcW w:w="1365" w:type="dxa"/>
            <w:vAlign w:val="center"/>
          </w:tcPr>
          <w:p>
            <w:pPr>
              <w:jc w:val="center"/>
              <w:outlineLvl w:val="1"/>
              <w:rPr>
                <w:rFonts w:ascii="Times New Roman" w:hAnsi="Times New Roman" w:eastAsia="黑体" w:cs="Times New Roman"/>
                <w:szCs w:val="21"/>
              </w:rPr>
            </w:pPr>
            <w:r>
              <w:rPr>
                <w:rFonts w:hint="eastAsia" w:ascii="Times New Roman" w:hAnsi="Times New Roman" w:eastAsia="黑体" w:cs="Times New Roman"/>
                <w:szCs w:val="21"/>
              </w:rPr>
              <w:t>姓名</w:t>
            </w:r>
          </w:p>
        </w:tc>
        <w:tc>
          <w:tcPr>
            <w:tcW w:w="1755" w:type="dxa"/>
            <w:vAlign w:val="center"/>
          </w:tcPr>
          <w:p>
            <w:pPr>
              <w:ind w:left="-105" w:leftChars="-50" w:right="-105" w:rightChars="-50"/>
              <w:jc w:val="center"/>
              <w:outlineLvl w:val="1"/>
              <w:rPr>
                <w:rFonts w:ascii="Times New Roman" w:hAnsi="Times New Roman" w:eastAsia="黑体" w:cs="Times New Roman"/>
                <w:szCs w:val="21"/>
              </w:rPr>
            </w:pPr>
            <w:r>
              <w:rPr>
                <w:rFonts w:hint="eastAsia" w:ascii="Times New Roman" w:hAnsi="Times New Roman" w:eastAsia="黑体" w:cs="Times New Roman"/>
                <w:szCs w:val="21"/>
              </w:rPr>
              <w:t>教师或学生</w:t>
            </w:r>
          </w:p>
        </w:tc>
        <w:tc>
          <w:tcPr>
            <w:tcW w:w="2838" w:type="dxa"/>
            <w:gridSpan w:val="3"/>
            <w:vAlign w:val="center"/>
          </w:tcPr>
          <w:p>
            <w:pPr>
              <w:ind w:left="-105" w:leftChars="-50" w:right="-105" w:rightChars="-50"/>
              <w:jc w:val="center"/>
              <w:outlineLvl w:val="1"/>
              <w:rPr>
                <w:rFonts w:ascii="Times New Roman" w:hAnsi="Times New Roman" w:eastAsia="黑体" w:cs="Times New Roman"/>
                <w:szCs w:val="21"/>
              </w:rPr>
            </w:pPr>
            <w:r>
              <w:rPr>
                <w:rFonts w:hint="eastAsia" w:ascii="Times New Roman" w:hAnsi="Times New Roman" w:eastAsia="黑体" w:cs="Times New Roman"/>
                <w:szCs w:val="21"/>
              </w:rPr>
              <w:t>大赛名称</w:t>
            </w:r>
          </w:p>
        </w:tc>
        <w:tc>
          <w:tcPr>
            <w:tcW w:w="1810" w:type="dxa"/>
            <w:gridSpan w:val="2"/>
            <w:vAlign w:val="center"/>
          </w:tcPr>
          <w:p>
            <w:pPr>
              <w:ind w:left="-105" w:leftChars="-50" w:right="-105" w:rightChars="-50"/>
              <w:jc w:val="center"/>
              <w:outlineLvl w:val="1"/>
              <w:rPr>
                <w:rFonts w:ascii="Times New Roman" w:hAnsi="Times New Roman" w:eastAsia="黑体" w:cs="Times New Roman"/>
                <w:szCs w:val="21"/>
              </w:rPr>
            </w:pPr>
            <w:r>
              <w:rPr>
                <w:rFonts w:hint="eastAsia" w:ascii="Times New Roman" w:hAnsi="Times New Roman" w:eastAsia="黑体" w:cs="Times New Roman"/>
                <w:szCs w:val="21"/>
              </w:rPr>
              <w:t>获奖等次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exact"/>
          <w:jc w:val="center"/>
        </w:trPr>
        <w:tc>
          <w:tcPr>
            <w:tcW w:w="715" w:type="dxa"/>
            <w:vAlign w:val="center"/>
          </w:tcPr>
          <w:p>
            <w:pPr>
              <w:jc w:val="center"/>
              <w:outlineLvl w:val="1"/>
              <w:rPr>
                <w:rFonts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365" w:type="dxa"/>
            <w:vAlign w:val="center"/>
          </w:tcPr>
          <w:p>
            <w:pPr>
              <w:widowControl/>
              <w:textAlignment w:val="center"/>
              <w:rPr>
                <w:rFonts w:ascii="Times New Roman" w:hAnsi="Times New Roman" w:eastAsia="仿宋_GB2312"/>
                <w:kern w:val="0"/>
                <w:sz w:val="24"/>
                <w:szCs w:val="24"/>
              </w:rPr>
            </w:pPr>
          </w:p>
        </w:tc>
        <w:tc>
          <w:tcPr>
            <w:tcW w:w="1755" w:type="dxa"/>
            <w:vAlign w:val="center"/>
          </w:tcPr>
          <w:p>
            <w:pPr>
              <w:widowControl/>
              <w:textAlignment w:val="center"/>
              <w:rPr>
                <w:rFonts w:ascii="Times New Roman" w:hAnsi="Times New Roman" w:eastAsia="仿宋_GB2312"/>
                <w:kern w:val="0"/>
                <w:sz w:val="24"/>
                <w:szCs w:val="24"/>
              </w:rPr>
            </w:pPr>
          </w:p>
        </w:tc>
        <w:tc>
          <w:tcPr>
            <w:tcW w:w="2838" w:type="dxa"/>
            <w:gridSpan w:val="3"/>
            <w:vAlign w:val="center"/>
          </w:tcPr>
          <w:p>
            <w:pPr>
              <w:widowControl/>
              <w:textAlignment w:val="center"/>
              <w:rPr>
                <w:rFonts w:ascii="Times New Roman" w:hAnsi="Times New Roman" w:eastAsia="仿宋_GB2312"/>
                <w:kern w:val="0"/>
                <w:sz w:val="24"/>
                <w:szCs w:val="24"/>
              </w:rPr>
            </w:pPr>
          </w:p>
        </w:tc>
        <w:tc>
          <w:tcPr>
            <w:tcW w:w="1810" w:type="dxa"/>
            <w:gridSpan w:val="2"/>
          </w:tcPr>
          <w:p>
            <w:pPr>
              <w:widowControl/>
              <w:textAlignment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1" w:type="dxa"/>
          <w:trHeight w:val="397" w:hRule="exact"/>
          <w:jc w:val="center"/>
        </w:trPr>
        <w:tc>
          <w:tcPr>
            <w:tcW w:w="715" w:type="dxa"/>
            <w:vAlign w:val="center"/>
          </w:tcPr>
          <w:p>
            <w:pPr>
              <w:jc w:val="center"/>
              <w:outlineLvl w:val="1"/>
              <w:rPr>
                <w:rFonts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1365" w:type="dxa"/>
            <w:vAlign w:val="center"/>
          </w:tcPr>
          <w:p>
            <w:pPr>
              <w:widowControl/>
              <w:textAlignment w:val="center"/>
              <w:rPr>
                <w:rFonts w:ascii="Times New Roman" w:hAnsi="Times New Roman" w:eastAsia="仿宋_GB2312"/>
                <w:kern w:val="0"/>
                <w:sz w:val="24"/>
                <w:szCs w:val="24"/>
              </w:rPr>
            </w:pPr>
          </w:p>
        </w:tc>
        <w:tc>
          <w:tcPr>
            <w:tcW w:w="1755" w:type="dxa"/>
            <w:vAlign w:val="center"/>
          </w:tcPr>
          <w:p>
            <w:pPr>
              <w:widowControl/>
              <w:textAlignment w:val="center"/>
              <w:rPr>
                <w:rFonts w:ascii="Times New Roman" w:hAnsi="Times New Roman" w:eastAsia="仿宋_GB2312"/>
                <w:kern w:val="0"/>
                <w:sz w:val="24"/>
                <w:szCs w:val="24"/>
              </w:rPr>
            </w:pPr>
          </w:p>
        </w:tc>
        <w:tc>
          <w:tcPr>
            <w:tcW w:w="2838" w:type="dxa"/>
            <w:gridSpan w:val="3"/>
            <w:vAlign w:val="center"/>
          </w:tcPr>
          <w:p>
            <w:pPr>
              <w:widowControl/>
              <w:textAlignment w:val="center"/>
              <w:rPr>
                <w:rFonts w:ascii="Times New Roman" w:hAnsi="Times New Roman" w:eastAsia="仿宋_GB2312"/>
                <w:kern w:val="0"/>
                <w:sz w:val="24"/>
                <w:szCs w:val="24"/>
              </w:rPr>
            </w:pPr>
          </w:p>
        </w:tc>
        <w:tc>
          <w:tcPr>
            <w:tcW w:w="1810" w:type="dxa"/>
            <w:gridSpan w:val="2"/>
          </w:tcPr>
          <w:p>
            <w:pPr>
              <w:widowControl/>
              <w:textAlignment w:val="center"/>
              <w:rPr>
                <w:rFonts w:ascii="Times New Roman" w:hAnsi="Times New Roman" w:eastAsia="仿宋_GB2312"/>
                <w:kern w:val="0"/>
                <w:sz w:val="24"/>
                <w:szCs w:val="24"/>
              </w:rPr>
            </w:pPr>
          </w:p>
        </w:tc>
      </w:tr>
    </w:tbl>
    <w:p>
      <w:pPr>
        <w:numPr>
          <w:ilvl w:val="0"/>
          <w:numId w:val="7"/>
        </w:numPr>
        <w:tabs>
          <w:tab w:val="left" w:pos="958"/>
          <w:tab w:val="left" w:pos="1078"/>
        </w:tabs>
        <w:ind w:left="-10" w:firstLine="640"/>
        <w:rPr>
          <w:rFonts w:ascii="楷体_GB2312" w:hAnsi="楷体_GB2312" w:eastAsia="楷体_GB2312" w:cs="楷体_GB2312"/>
          <w:sz w:val="32"/>
          <w:szCs w:val="32"/>
        </w:rPr>
      </w:pPr>
      <w:r>
        <w:rPr>
          <w:rFonts w:hint="eastAsia" w:ascii="Times New Roman" w:hAnsi="Times New Roman" w:eastAsia="仿宋_GB2312"/>
          <w:b/>
          <w:bCs/>
          <w:sz w:val="32"/>
          <w:szCs w:val="32"/>
        </w:rPr>
        <w:t>接收国（境）外留学生专业数：</w:t>
      </w:r>
      <w:r>
        <w:rPr>
          <w:rFonts w:hint="eastAsia" w:ascii="Times New Roman" w:hAnsi="Times New Roman" w:eastAsia="仿宋_GB2312"/>
          <w:sz w:val="32"/>
          <w:szCs w:val="32"/>
        </w:rPr>
        <w:t>指学校接收培养留学生的专业总数。</w:t>
      </w:r>
      <w:r>
        <w:rPr>
          <w:rFonts w:hint="eastAsia" w:ascii="Times New Roman" w:hAnsi="Times New Roman" w:eastAsia="仿宋_GB2312"/>
          <w:b/>
          <w:bCs/>
          <w:sz w:val="32"/>
          <w:szCs w:val="32"/>
        </w:rPr>
        <w:t>接收国（境）外留学生人数</w:t>
      </w:r>
      <w:r>
        <w:rPr>
          <w:rFonts w:hint="eastAsia" w:ascii="Times New Roman" w:hAnsi="Times New Roman" w:eastAsia="仿宋_GB2312"/>
          <w:sz w:val="32"/>
          <w:szCs w:val="32"/>
        </w:rPr>
        <w:t>为学校各个专业接收培养的全日制教育的国（境）外留学生总人数。</w:t>
      </w:r>
    </w:p>
    <w:p>
      <w:pPr>
        <w:numPr>
          <w:ilvl w:val="0"/>
          <w:numId w:val="7"/>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开发并被国（境）外采用的课程标准数：</w:t>
      </w:r>
      <w:r>
        <w:rPr>
          <w:rFonts w:hint="eastAsia" w:ascii="Times New Roman" w:hAnsi="Times New Roman" w:eastAsia="仿宋_GB2312"/>
          <w:sz w:val="32"/>
          <w:szCs w:val="32"/>
        </w:rPr>
        <w:t>指学校主持或参与开发与本校重点专业相关的课程标准，并得到国（境）外同行采用的数量。</w:t>
      </w:r>
    </w:p>
    <w:p>
      <w:pPr>
        <w:numPr>
          <w:ilvl w:val="0"/>
          <w:numId w:val="7"/>
        </w:numPr>
        <w:tabs>
          <w:tab w:val="left" w:pos="958"/>
          <w:tab w:val="left" w:pos="1078"/>
        </w:tabs>
        <w:ind w:left="-10" w:firstLine="640"/>
        <w:rPr>
          <w:rFonts w:ascii="Times New Roman" w:hAnsi="Times New Roman" w:eastAsia="仿宋_GB2312"/>
          <w:b/>
          <w:bCs/>
          <w:sz w:val="32"/>
          <w:szCs w:val="32"/>
        </w:rPr>
      </w:pPr>
      <w:r>
        <w:rPr>
          <w:rFonts w:hint="eastAsia" w:ascii="Times New Roman" w:hAnsi="Times New Roman" w:eastAsia="仿宋_GB2312"/>
          <w:b/>
          <w:bCs/>
          <w:sz w:val="32"/>
          <w:szCs w:val="32"/>
        </w:rPr>
        <w:t>在</w:t>
      </w:r>
      <w:r>
        <w:rPr>
          <w:rFonts w:ascii="Times New Roman" w:hAnsi="Times New Roman" w:eastAsia="仿宋_GB2312"/>
          <w:b/>
          <w:bCs/>
          <w:sz w:val="32"/>
          <w:szCs w:val="32"/>
        </w:rPr>
        <w:t>国（境）外开办学校</w:t>
      </w:r>
      <w:r>
        <w:rPr>
          <w:rFonts w:hint="eastAsia" w:ascii="Times New Roman" w:hAnsi="Times New Roman" w:eastAsia="仿宋_GB2312"/>
          <w:b/>
          <w:bCs/>
          <w:sz w:val="32"/>
          <w:szCs w:val="32"/>
        </w:rPr>
        <w:t>数：</w:t>
      </w:r>
      <w:r>
        <w:rPr>
          <w:rFonts w:hint="eastAsia" w:ascii="Times New Roman" w:hAnsi="Times New Roman" w:eastAsia="仿宋_GB2312"/>
          <w:sz w:val="32"/>
          <w:szCs w:val="32"/>
        </w:rPr>
        <w:t>指学校在海外举办的职业学校数，包括与国（境）外办学机构合作开办的职业学校和在国（境）外独立举办的职业学校数量。其中，</w:t>
      </w:r>
      <w:r>
        <w:rPr>
          <w:rFonts w:hint="eastAsia" w:ascii="Times New Roman" w:hAnsi="Times New Roman" w:eastAsia="仿宋_GB2312"/>
          <w:b/>
          <w:bCs/>
          <w:sz w:val="32"/>
          <w:szCs w:val="32"/>
        </w:rPr>
        <w:t>专业数量</w:t>
      </w:r>
      <w:r>
        <w:rPr>
          <w:rFonts w:hint="eastAsia" w:ascii="Times New Roman" w:hAnsi="Times New Roman" w:eastAsia="仿宋_GB2312"/>
          <w:sz w:val="32"/>
          <w:szCs w:val="32"/>
        </w:rPr>
        <w:t>为</w:t>
      </w:r>
      <w:r>
        <w:rPr>
          <w:rFonts w:ascii="Times New Roman" w:hAnsi="Times New Roman" w:eastAsia="仿宋_GB2312"/>
          <w:sz w:val="32"/>
          <w:szCs w:val="32"/>
        </w:rPr>
        <w:t>国（境）外开办学校</w:t>
      </w:r>
      <w:r>
        <w:rPr>
          <w:rFonts w:hint="eastAsia" w:ascii="Times New Roman" w:hAnsi="Times New Roman" w:eastAsia="仿宋_GB2312"/>
          <w:sz w:val="32"/>
          <w:szCs w:val="32"/>
        </w:rPr>
        <w:t>设置的专业数；</w:t>
      </w:r>
      <w:r>
        <w:rPr>
          <w:rFonts w:hint="eastAsia" w:ascii="Times New Roman" w:hAnsi="Times New Roman" w:eastAsia="仿宋_GB2312"/>
          <w:b/>
          <w:bCs/>
          <w:sz w:val="32"/>
          <w:szCs w:val="32"/>
        </w:rPr>
        <w:t>在校生数</w:t>
      </w:r>
      <w:r>
        <w:rPr>
          <w:rFonts w:hint="eastAsia" w:ascii="Times New Roman" w:hAnsi="Times New Roman" w:eastAsia="仿宋_GB2312"/>
          <w:sz w:val="32"/>
          <w:szCs w:val="32"/>
        </w:rPr>
        <w:t>为</w:t>
      </w:r>
      <w:r>
        <w:rPr>
          <w:rFonts w:ascii="Times New Roman" w:hAnsi="Times New Roman" w:eastAsia="仿宋_GB2312"/>
          <w:sz w:val="32"/>
          <w:szCs w:val="32"/>
        </w:rPr>
        <w:t>国（境）外开办学校</w:t>
      </w:r>
      <w:r>
        <w:rPr>
          <w:rFonts w:hint="eastAsia" w:ascii="Times New Roman" w:hAnsi="Times New Roman" w:eastAsia="仿宋_GB2312"/>
          <w:sz w:val="32"/>
          <w:szCs w:val="32"/>
        </w:rPr>
        <w:t>的在校生总人数。</w:t>
      </w:r>
    </w:p>
    <w:p>
      <w:pPr>
        <w:numPr>
          <w:ilvl w:val="0"/>
          <w:numId w:val="7"/>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中外合作办学专业数：</w:t>
      </w:r>
      <w:r>
        <w:rPr>
          <w:rFonts w:hint="eastAsia" w:ascii="Times New Roman" w:hAnsi="Times New Roman" w:eastAsia="仿宋_GB2312"/>
          <w:sz w:val="32"/>
          <w:szCs w:val="32"/>
        </w:rPr>
        <w:t>指学校引进国（境）外优质教育资源，与国境外大学合作，经教育行政部门审批具有全日制招生资格的中外合作专业数量。</w:t>
      </w:r>
      <w:r>
        <w:rPr>
          <w:rFonts w:hint="eastAsia" w:ascii="Times New Roman" w:hAnsi="Times New Roman" w:eastAsia="仿宋_GB2312"/>
          <w:b/>
          <w:bCs/>
          <w:sz w:val="32"/>
          <w:szCs w:val="32"/>
        </w:rPr>
        <w:t>在校生数</w:t>
      </w:r>
      <w:r>
        <w:rPr>
          <w:rFonts w:hint="eastAsia" w:ascii="Times New Roman" w:hAnsi="Times New Roman" w:eastAsia="仿宋_GB2312"/>
          <w:sz w:val="32"/>
          <w:szCs w:val="32"/>
        </w:rPr>
        <w:t>为中外合作办学专业的在校生总数。</w:t>
      </w:r>
    </w:p>
    <w:p>
      <w:pPr>
        <w:numPr>
          <w:ilvl w:val="0"/>
          <w:numId w:val="7"/>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专任教师赴国（境）外指导和开展培训时间：</w:t>
      </w:r>
      <w:r>
        <w:rPr>
          <w:rFonts w:hint="eastAsia" w:ascii="Times New Roman" w:hAnsi="Times New Roman" w:eastAsia="仿宋_GB2312"/>
          <w:sz w:val="32"/>
          <w:szCs w:val="32"/>
        </w:rPr>
        <w:t>指学校专任教师到国（境）外进行专业实践教学指导、培训人员、技术服务和研发的工日，一般1名教师工作1天为1人日。</w:t>
      </w:r>
    </w:p>
    <w:p>
      <w:pPr>
        <w:numPr>
          <w:ilvl w:val="0"/>
          <w:numId w:val="7"/>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在国（境）外组织担任职务的专任教师数：</w:t>
      </w:r>
      <w:r>
        <w:rPr>
          <w:rFonts w:hint="eastAsia" w:ascii="Times New Roman" w:hAnsi="Times New Roman" w:eastAsia="仿宋_GB2312"/>
          <w:sz w:val="32"/>
          <w:szCs w:val="32"/>
        </w:rPr>
        <w:t>指在国（境）外团体或国际机构中担任专职或兼职工作的专任教师数量。须在说明①逐一列出，否则数据无效；若该指标数值为“0”，则在说明中填写“无”。</w:t>
      </w:r>
    </w:p>
    <w:p>
      <w:pPr>
        <w:numPr>
          <w:ilvl w:val="0"/>
          <w:numId w:val="7"/>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国（境）外技能大赛获奖数量：</w:t>
      </w:r>
      <w:r>
        <w:rPr>
          <w:rFonts w:hint="eastAsia" w:ascii="Times New Roman" w:hAnsi="Times New Roman" w:eastAsia="仿宋_GB2312"/>
          <w:sz w:val="32"/>
          <w:szCs w:val="32"/>
        </w:rPr>
        <w:t>指学校师生在与专业教学相关的国（境）外技能大赛中获得奖项的总数，包括在国内举办的国际技能大赛上所获奖项。须在说明②逐一列出，否则数据无效；若该指标数值为“0”，则在说明中填写“无”。</w:t>
      </w:r>
    </w:p>
    <w:p>
      <w:pPr>
        <w:spacing w:line="14" w:lineRule="exact"/>
      </w:pP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六、“服务贡献表”指标及相关内涵说明</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“服务贡献表”系反映高等职业学校服务地方和行业发展的管理评价工具，共</w:t>
      </w:r>
      <w:r>
        <w:rPr>
          <w:rFonts w:hint="eastAsia" w:ascii="Times New Roman" w:hAnsi="Times New Roman" w:eastAsia="仿宋_GB2312" w:cs="Times New Roman"/>
          <w:sz w:val="32"/>
          <w:szCs w:val="32"/>
        </w:rPr>
        <w:t>采集指标8个，包括字段18个（表5）。</w:t>
      </w:r>
    </w:p>
    <w:p>
      <w:pPr>
        <w:jc w:val="center"/>
        <w:outlineLvl w:val="2"/>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表5</w:t>
      </w:r>
      <w:r>
        <w:rPr>
          <w:rFonts w:hint="eastAsia" w:ascii="Times New Roman" w:hAnsi="Times New Roman" w:eastAsia="方正小标宋简体" w:cs="Times New Roman"/>
          <w:sz w:val="32"/>
          <w:szCs w:val="32"/>
        </w:rPr>
        <w:t xml:space="preserve"> </w:t>
      </w:r>
      <w:r>
        <w:rPr>
          <w:rFonts w:ascii="Times New Roman" w:hAnsi="Times New Roman" w:eastAsia="方正小标宋简体" w:cs="Times New Roman"/>
          <w:sz w:val="32"/>
          <w:szCs w:val="32"/>
        </w:rPr>
        <w:t xml:space="preserve"> 服务贡献表</w:t>
      </w:r>
    </w:p>
    <w:p>
      <w:pPr>
        <w:jc w:val="left"/>
        <w:outlineLvl w:val="3"/>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4773"/>
        <w:gridCol w:w="824"/>
        <w:gridCol w:w="1133"/>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698"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4195"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指标</w:t>
            </w:r>
          </w:p>
        </w:tc>
        <w:tc>
          <w:tcPr>
            <w:tcW w:w="724"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单位</w:t>
            </w:r>
          </w:p>
        </w:tc>
        <w:tc>
          <w:tcPr>
            <w:tcW w:w="996"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2022年</w:t>
            </w:r>
          </w:p>
        </w:tc>
        <w:tc>
          <w:tcPr>
            <w:tcW w:w="861" w:type="dxa"/>
            <w:vAlign w:val="center"/>
          </w:tcPr>
          <w:p>
            <w:pPr>
              <w:jc w:val="center"/>
              <w:outlineLvl w:val="1"/>
              <w:rPr>
                <w:rFonts w:ascii="Times New Roman" w:hAnsi="Times New Roman" w:eastAsia="黑体" w:cs="Times New Roman"/>
                <w:sz w:val="24"/>
                <w:szCs w:val="24"/>
              </w:rPr>
            </w:pPr>
            <w:r>
              <w:rPr>
                <w:rFonts w:hint="eastAsia"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Align w:val="center"/>
          </w:tcPr>
          <w:p>
            <w:pPr>
              <w:jc w:val="center"/>
              <w:outlineLvl w:val="1"/>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95"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全日制在校生人数</w:t>
            </w:r>
          </w:p>
        </w:tc>
        <w:tc>
          <w:tcPr>
            <w:tcW w:w="724"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kern w:val="0"/>
                <w:sz w:val="24"/>
                <w:szCs w:val="24"/>
              </w:rPr>
              <w:t>人</w:t>
            </w:r>
          </w:p>
        </w:tc>
        <w:tc>
          <w:tcPr>
            <w:tcW w:w="996"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195"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kern w:val="0"/>
                <w:sz w:val="24"/>
                <w:szCs w:val="24"/>
              </w:rPr>
              <w:t>毕业生就业人数</w:t>
            </w:r>
          </w:p>
        </w:tc>
        <w:tc>
          <w:tcPr>
            <w:tcW w:w="724" w:type="dxa"/>
            <w:vAlign w:val="center"/>
          </w:tcPr>
          <w:p>
            <w:pPr>
              <w:widowControl/>
              <w:adjustRightInd w:val="0"/>
              <w:snapToGrid w:val="0"/>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w:t>
            </w:r>
          </w:p>
        </w:tc>
        <w:tc>
          <w:tcPr>
            <w:tcW w:w="996"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其中：A类</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留在当地就业</w:t>
            </w:r>
          </w:p>
        </w:tc>
        <w:tc>
          <w:tcPr>
            <w:tcW w:w="724" w:type="dxa"/>
            <w:vAlign w:val="center"/>
          </w:tcPr>
          <w:p>
            <w:pPr>
              <w:widowControl/>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方正小标宋简体" w:cs="Times New Roman"/>
                <w:sz w:val="32"/>
                <w:szCs w:val="32"/>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      B类</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到西部和东北地区就业</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ind w:left="1200" w:hanging="1200" w:hangingChars="500"/>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      C类</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到中小微企业等基层就业</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人 </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ind w:firstLine="720" w:firstLineChars="300"/>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D类</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到大型企业就业</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横向技术服务到款额</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万元</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横向技术服务产生的经济效益</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万元</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纵向科研经费到款额</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万元</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技术产权交易收入</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万元</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知识产权项目数</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项</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其中：专利授权数量</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项</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      发明专利授权数量</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项</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      专利成果转化到款额</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万元</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4195" w:type="dxa"/>
            <w:vAlign w:val="center"/>
          </w:tcPr>
          <w:p>
            <w:pPr>
              <w:widowControl/>
              <w:adjustRightInd w:val="0"/>
              <w:snapToGrid w:val="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非学历培训项目数</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项</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非学历培训</w:t>
            </w:r>
            <w:r>
              <w:rPr>
                <w:rFonts w:hint="eastAsia" w:ascii="Times New Roman" w:hAnsi="Times New Roman" w:eastAsia="仿宋_GB2312"/>
                <w:kern w:val="0"/>
                <w:sz w:val="24"/>
                <w:szCs w:val="24"/>
              </w:rPr>
              <w:t>学时</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个</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Merge w:val="continue"/>
            <w:vAlign w:val="center"/>
          </w:tcPr>
          <w:p>
            <w:pPr>
              <w:jc w:val="center"/>
              <w:outlineLvl w:val="1"/>
              <w:rPr>
                <w:rFonts w:ascii="Times New Roman" w:hAnsi="Times New Roman" w:eastAsia="仿宋_GB2312" w:cs="Times New Roman"/>
                <w:sz w:val="24"/>
                <w:szCs w:val="24"/>
              </w:rPr>
            </w:pPr>
          </w:p>
        </w:tc>
        <w:tc>
          <w:tcPr>
            <w:tcW w:w="4195"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非学历培训</w:t>
            </w:r>
            <w:r>
              <w:rPr>
                <w:rFonts w:hint="eastAsia" w:ascii="Times New Roman" w:hAnsi="Times New Roman" w:eastAsia="仿宋_GB2312"/>
                <w:kern w:val="0"/>
                <w:sz w:val="24"/>
                <w:szCs w:val="24"/>
              </w:rPr>
              <w:t>到账经费</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万元</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8"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4195"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公益项目培训学时</w:t>
            </w:r>
          </w:p>
        </w:tc>
        <w:tc>
          <w:tcPr>
            <w:tcW w:w="724" w:type="dxa"/>
            <w:vAlign w:val="center"/>
          </w:tcPr>
          <w:p>
            <w:pPr>
              <w:widowControl/>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个</w:t>
            </w:r>
          </w:p>
        </w:tc>
        <w:tc>
          <w:tcPr>
            <w:tcW w:w="996" w:type="dxa"/>
          </w:tcPr>
          <w:p>
            <w:pPr>
              <w:widowControl/>
              <w:jc w:val="center"/>
              <w:textAlignment w:val="center"/>
              <w:rPr>
                <w:rFonts w:ascii="Times New Roman" w:hAnsi="Times New Roman" w:eastAsia="仿宋_GB2312" w:cs="Times New Roman"/>
                <w:color w:val="000000"/>
                <w:kern w:val="0"/>
                <w:sz w:val="24"/>
                <w:szCs w:val="24"/>
                <w:lang w:bidi="ar"/>
              </w:rPr>
            </w:pPr>
          </w:p>
        </w:tc>
        <w:tc>
          <w:tcPr>
            <w:tcW w:w="861" w:type="dxa"/>
            <w:vAlign w:val="center"/>
          </w:tcPr>
          <w:p>
            <w:pPr>
              <w:widowControl/>
              <w:ind w:left="-105" w:leftChars="-50" w:right="-105" w:rightChars="-50"/>
              <w:jc w:val="center"/>
              <w:outlineLvl w:val="2"/>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bl>
    <w:p>
      <w:pPr>
        <w:numPr>
          <w:ilvl w:val="0"/>
          <w:numId w:val="8"/>
        </w:numPr>
        <w:tabs>
          <w:tab w:val="left" w:pos="958"/>
          <w:tab w:val="left" w:pos="1078"/>
        </w:tabs>
        <w:ind w:left="-10" w:firstLine="640"/>
        <w:rPr>
          <w:rFonts w:ascii="Times New Roman" w:hAnsi="Times New Roman" w:eastAsia="仿宋_GB2312"/>
          <w:b/>
          <w:bCs/>
          <w:sz w:val="32"/>
          <w:szCs w:val="32"/>
        </w:rPr>
      </w:pPr>
      <w:r>
        <w:rPr>
          <w:rFonts w:hint="eastAsia" w:ascii="Times New Roman" w:hAnsi="Times New Roman" w:eastAsia="仿宋_GB2312"/>
          <w:b/>
          <w:bCs/>
          <w:sz w:val="32"/>
          <w:szCs w:val="32"/>
        </w:rPr>
        <w:t>全日制在校生人数：</w:t>
      </w:r>
      <w:r>
        <w:rPr>
          <w:rFonts w:hint="eastAsia" w:ascii="Times New Roman" w:hAnsi="Times New Roman" w:eastAsia="仿宋_GB2312"/>
          <w:sz w:val="32"/>
          <w:szCs w:val="32"/>
        </w:rPr>
        <w:t>指注册全日制高职学籍，按照国家相关规定在校学习的学生人数。</w:t>
      </w:r>
    </w:p>
    <w:p>
      <w:pPr>
        <w:numPr>
          <w:ilvl w:val="0"/>
          <w:numId w:val="8"/>
        </w:numPr>
        <w:tabs>
          <w:tab w:val="left" w:pos="958"/>
          <w:tab w:val="left" w:pos="1078"/>
        </w:tabs>
        <w:ind w:left="-10" w:firstLine="640"/>
        <w:rPr>
          <w:rFonts w:eastAsia="仿宋_GB2312"/>
        </w:rPr>
      </w:pPr>
      <w:r>
        <w:rPr>
          <w:rFonts w:hint="eastAsia" w:ascii="Times New Roman" w:hAnsi="Times New Roman" w:eastAsia="仿宋_GB2312"/>
          <w:b/>
          <w:bCs/>
          <w:sz w:val="32"/>
          <w:szCs w:val="32"/>
        </w:rPr>
        <w:t>毕业生就业人数</w:t>
      </w:r>
      <w:r>
        <w:rPr>
          <w:rFonts w:hint="eastAsia" w:ascii="Times New Roman" w:hAnsi="Times New Roman" w:eastAsia="仿宋_GB2312"/>
          <w:sz w:val="32"/>
          <w:szCs w:val="32"/>
        </w:rPr>
        <w:t>包括协议和合同就业毕业生、自主创业毕业生和灵活就业毕业生，不包括升学毕业生。其中，</w:t>
      </w:r>
      <w:r>
        <w:rPr>
          <w:rFonts w:hint="eastAsia" w:ascii="Times New Roman" w:hAnsi="Times New Roman" w:eastAsia="仿宋_GB2312"/>
          <w:b/>
          <w:bCs/>
          <w:sz w:val="32"/>
          <w:szCs w:val="32"/>
        </w:rPr>
        <w:t>A类</w:t>
      </w:r>
      <w:r>
        <w:rPr>
          <w:rFonts w:hint="eastAsia" w:ascii="Times New Roman" w:hAnsi="Times New Roman" w:eastAsia="仿宋_GB2312"/>
          <w:sz w:val="32"/>
          <w:szCs w:val="32"/>
        </w:rPr>
        <w:t>为应届毕业生留在当地（公办学校省级财政投入经费的以省域为“当地”，地级财政投入经费的以地级市域为“当地”，以此类推；民办学校以学校所在地为“当地”；如有异地校区则分别统计）就业人数；</w:t>
      </w:r>
      <w:r>
        <w:rPr>
          <w:rFonts w:hint="eastAsia" w:ascii="Times New Roman" w:hAnsi="Times New Roman" w:eastAsia="仿宋_GB2312"/>
          <w:b/>
          <w:bCs/>
          <w:sz w:val="32"/>
          <w:szCs w:val="32"/>
        </w:rPr>
        <w:t>B类</w:t>
      </w:r>
      <w:r>
        <w:rPr>
          <w:rFonts w:hint="eastAsia" w:ascii="Times New Roman" w:hAnsi="Times New Roman" w:eastAsia="仿宋_GB2312"/>
          <w:sz w:val="32"/>
          <w:szCs w:val="32"/>
        </w:rPr>
        <w:t>为应届毕业生到西部地区（包括四川、重庆、贵州、云南、西藏、陕西、甘肃、青海、宁夏、新疆、广西、内蒙古12个省份）和东北地区（包括辽宁、吉林、黑龙江3个省份）就业人数；</w:t>
      </w:r>
      <w:r>
        <w:rPr>
          <w:rFonts w:hint="eastAsia" w:ascii="Times New Roman" w:hAnsi="Times New Roman" w:eastAsia="仿宋_GB2312"/>
          <w:b/>
          <w:bCs/>
          <w:sz w:val="32"/>
          <w:szCs w:val="32"/>
        </w:rPr>
        <w:t>C、D两类</w:t>
      </w:r>
      <w:r>
        <w:rPr>
          <w:rFonts w:hint="eastAsia" w:ascii="Times New Roman" w:hAnsi="Times New Roman" w:eastAsia="仿宋_GB2312"/>
          <w:sz w:val="32"/>
          <w:szCs w:val="32"/>
        </w:rPr>
        <w:t>分别为应届毕业生到中小微企业和大型企业就业人数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具体分类参照国家统计局《统计上大中小微型企业划分办法（2017）》（国统字〔2017〕213 号）。</w:t>
      </w:r>
    </w:p>
    <w:p>
      <w:pPr>
        <w:numPr>
          <w:ilvl w:val="0"/>
          <w:numId w:val="8"/>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横向技术服务到款额：</w:t>
      </w:r>
      <w:r>
        <w:rPr>
          <w:rFonts w:hint="eastAsia" w:ascii="Times New Roman" w:hAnsi="Times New Roman" w:eastAsia="仿宋_GB2312"/>
          <w:sz w:val="32"/>
          <w:szCs w:val="32"/>
        </w:rPr>
        <w:t>指学校通过向企事业单位及自然人提供技术服务、技术咨询、技术开发、技术转让、技术许可等服务性项目并获得的科研资金，与境外企业、个人开展国际科技合作项目所取得的科研资金及科技捐赠项目取得的资金收入。</w:t>
      </w:r>
      <w:r>
        <w:rPr>
          <w:rFonts w:hint="eastAsia" w:ascii="Times New Roman" w:hAnsi="Times New Roman" w:eastAsia="仿宋_GB2312"/>
          <w:b/>
          <w:bCs/>
          <w:sz w:val="32"/>
          <w:szCs w:val="32"/>
        </w:rPr>
        <w:t>横向技术服务产生的经济效益</w:t>
      </w:r>
      <w:r>
        <w:rPr>
          <w:rFonts w:hint="eastAsia" w:ascii="Times New Roman" w:hAnsi="Times New Roman" w:eastAsia="仿宋_GB2312"/>
          <w:sz w:val="32"/>
          <w:szCs w:val="32"/>
        </w:rPr>
        <w:t>指学校2021年自然年度（2021年1月1日-12月31日）为上述企事业单位、自然人提供相关服务以及国际科技合作项目中所产生的经济效益，由受益方出具证明，并加盖财务章。</w:t>
      </w:r>
    </w:p>
    <w:p>
      <w:pPr>
        <w:numPr>
          <w:ilvl w:val="0"/>
          <w:numId w:val="8"/>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纵向科研经费到款额：</w:t>
      </w:r>
      <w:r>
        <w:rPr>
          <w:rFonts w:hint="eastAsia" w:ascii="Times New Roman" w:hAnsi="Times New Roman" w:eastAsia="仿宋_GB2312"/>
          <w:bCs/>
          <w:sz w:val="32"/>
          <w:szCs w:val="32"/>
        </w:rPr>
        <w:t>指学校通过承担国家、地方政府常设的计划项目或专项项目取得的科研项目经费收入。</w:t>
      </w:r>
    </w:p>
    <w:p>
      <w:pPr>
        <w:numPr>
          <w:ilvl w:val="0"/>
          <w:numId w:val="8"/>
        </w:numPr>
        <w:tabs>
          <w:tab w:val="left" w:pos="958"/>
          <w:tab w:val="left" w:pos="1078"/>
        </w:tabs>
        <w:ind w:left="-10" w:firstLine="640"/>
        <w:rPr>
          <w:rFonts w:ascii="楷体_GB2312" w:hAnsi="楷体_GB2312" w:eastAsia="楷体_GB2312" w:cs="楷体_GB2312"/>
          <w:sz w:val="32"/>
          <w:szCs w:val="32"/>
        </w:rPr>
      </w:pPr>
      <w:r>
        <w:rPr>
          <w:rFonts w:hint="eastAsia" w:ascii="Times New Roman" w:hAnsi="Times New Roman" w:eastAsia="仿宋_GB2312"/>
          <w:b/>
          <w:bCs/>
          <w:sz w:val="32"/>
          <w:szCs w:val="32"/>
        </w:rPr>
        <w:t>技术产权交易到款额：</w:t>
      </w:r>
      <w:r>
        <w:rPr>
          <w:rFonts w:hint="eastAsia" w:ascii="Times New Roman" w:hAnsi="Times New Roman" w:eastAsia="仿宋_GB2312"/>
          <w:bCs/>
          <w:sz w:val="32"/>
          <w:szCs w:val="32"/>
        </w:rPr>
        <w:t>指学校对其拥有的科技成果、专利技术、专有技术等进行有偿转让取得的收入。</w:t>
      </w:r>
    </w:p>
    <w:p>
      <w:pPr>
        <w:numPr>
          <w:ilvl w:val="0"/>
          <w:numId w:val="8"/>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知识产权项目数量</w:t>
      </w:r>
      <w:r>
        <w:rPr>
          <w:rFonts w:hint="eastAsia" w:ascii="Times New Roman" w:hAnsi="Times New Roman" w:eastAsia="仿宋_GB2312"/>
          <w:sz w:val="32"/>
          <w:szCs w:val="32"/>
        </w:rPr>
        <w:t>：指著作权、专利权属学校的软件著作权、实用新型专利、发明专利、外观设计专利等知识产权项目。</w:t>
      </w:r>
      <w:r>
        <w:rPr>
          <w:rFonts w:hint="eastAsia" w:ascii="Times New Roman" w:hAnsi="Times New Roman" w:eastAsia="仿宋_GB2312"/>
          <w:b/>
          <w:bCs/>
          <w:sz w:val="32"/>
          <w:szCs w:val="32"/>
        </w:rPr>
        <w:t>专利授权数量</w:t>
      </w:r>
      <w:r>
        <w:rPr>
          <w:rFonts w:hint="eastAsia" w:ascii="Times New Roman" w:hAnsi="Times New Roman" w:eastAsia="仿宋_GB2312"/>
          <w:sz w:val="32"/>
          <w:szCs w:val="32"/>
        </w:rPr>
        <w:t>指经国家授权且学校为专利权人的专利数量；</w:t>
      </w:r>
      <w:r>
        <w:rPr>
          <w:rFonts w:hint="eastAsia" w:ascii="Times New Roman" w:hAnsi="Times New Roman" w:eastAsia="仿宋_GB2312"/>
          <w:b/>
          <w:bCs/>
          <w:sz w:val="32"/>
          <w:szCs w:val="32"/>
        </w:rPr>
        <w:t>发明专利授权数量</w:t>
      </w:r>
      <w:r>
        <w:rPr>
          <w:rFonts w:hint="eastAsia" w:ascii="Times New Roman" w:hAnsi="Times New Roman" w:eastAsia="仿宋_GB2312"/>
          <w:sz w:val="32"/>
          <w:szCs w:val="32"/>
        </w:rPr>
        <w:t>指经国家授权且学校为专利权人的发明专利数量；</w:t>
      </w:r>
      <w:r>
        <w:rPr>
          <w:rFonts w:hint="eastAsia" w:ascii="Times New Roman" w:hAnsi="Times New Roman" w:eastAsia="仿宋_GB2312"/>
          <w:b/>
          <w:bCs/>
          <w:sz w:val="32"/>
          <w:szCs w:val="32"/>
        </w:rPr>
        <w:t>专利成果转化到款额</w:t>
      </w:r>
      <w:r>
        <w:rPr>
          <w:rFonts w:hint="eastAsia" w:ascii="Times New Roman" w:hAnsi="Times New Roman" w:eastAsia="仿宋_GB2312"/>
          <w:sz w:val="32"/>
          <w:szCs w:val="32"/>
        </w:rPr>
        <w:t>指学校专利2021-2022学年（2021年9月1日-2022年8月31日）以许可、转让和作价入股等形式完成转化，并通过许可、转让取得的收入和作价入股金额体现的收入总额。</w:t>
      </w:r>
    </w:p>
    <w:p>
      <w:pPr>
        <w:numPr>
          <w:ilvl w:val="0"/>
          <w:numId w:val="8"/>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非学历培训项目数</w:t>
      </w:r>
      <w:r>
        <w:rPr>
          <w:rFonts w:hint="eastAsia" w:ascii="Times New Roman" w:hAnsi="Times New Roman" w:eastAsia="仿宋_GB2312"/>
          <w:sz w:val="32"/>
          <w:szCs w:val="32"/>
        </w:rPr>
        <w:t>：指针对非学历培训开展的培训项目数，包括以远程在线、集中等形式开展的培训项目。</w:t>
      </w:r>
      <w:r>
        <w:rPr>
          <w:rFonts w:hint="eastAsia" w:ascii="Times New Roman" w:hAnsi="Times New Roman" w:eastAsia="仿宋_GB2312"/>
          <w:b/>
          <w:bCs/>
          <w:sz w:val="32"/>
          <w:szCs w:val="32"/>
        </w:rPr>
        <w:t>非学历培训时间</w:t>
      </w:r>
      <w:r>
        <w:rPr>
          <w:rFonts w:hint="eastAsia" w:ascii="Times New Roman" w:hAnsi="Times New Roman" w:eastAsia="仿宋_GB2312"/>
          <w:sz w:val="32"/>
          <w:szCs w:val="32"/>
        </w:rPr>
        <w:t>指学校为社会进行的各类非学历培训项目的总学时数；</w:t>
      </w:r>
      <w:r>
        <w:rPr>
          <w:rFonts w:hint="eastAsia" w:ascii="Times New Roman" w:hAnsi="Times New Roman" w:eastAsia="仿宋_GB2312"/>
          <w:b/>
          <w:bCs/>
          <w:sz w:val="32"/>
          <w:szCs w:val="32"/>
        </w:rPr>
        <w:t>非学历培训到款额</w:t>
      </w:r>
      <w:r>
        <w:rPr>
          <w:rFonts w:hint="eastAsia" w:ascii="Times New Roman" w:hAnsi="Times New Roman" w:eastAsia="仿宋_GB2312"/>
          <w:sz w:val="32"/>
          <w:szCs w:val="32"/>
        </w:rPr>
        <w:t>指学校为社会进行的非学历培训实际到款额。</w:t>
      </w:r>
    </w:p>
    <w:p>
      <w:pPr>
        <w:numPr>
          <w:ilvl w:val="0"/>
          <w:numId w:val="8"/>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公益项目培训时间</w:t>
      </w:r>
      <w:r>
        <w:rPr>
          <w:rFonts w:hint="eastAsia" w:ascii="Times New Roman" w:hAnsi="Times New Roman" w:eastAsia="仿宋_GB2312"/>
          <w:sz w:val="32"/>
          <w:szCs w:val="32"/>
        </w:rPr>
        <w:t>：指学校面向社会开展的不收取受训人员任何费用的免费公益培训的累计学时数，不含针对校内学生和教师的培训，每学时按45分钟计算。</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七、“落实政策表”指标及相关内涵说明</w:t>
      </w:r>
    </w:p>
    <w:p>
      <w:pPr>
        <w:tabs>
          <w:tab w:val="left" w:pos="958"/>
          <w:tab w:val="left" w:pos="1078"/>
        </w:tabs>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“落实政策表”系通过院校数据反映政府落实国家发展高职教育政策情况的管理评价工具，共</w:t>
      </w:r>
      <w:r>
        <w:rPr>
          <w:rFonts w:hint="eastAsia" w:ascii="Times New Roman" w:hAnsi="Times New Roman" w:eastAsia="仿宋_GB2312" w:cs="Times New Roman"/>
          <w:sz w:val="32"/>
          <w:szCs w:val="32"/>
        </w:rPr>
        <w:t>采集指标</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个，包括字段1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个（表6）。</w:t>
      </w:r>
    </w:p>
    <w:p>
      <w:pPr>
        <w:jc w:val="center"/>
        <w:outlineLvl w:val="2"/>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表6</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 xml:space="preserve"> 落实政策表</w:t>
      </w:r>
    </w:p>
    <w:p>
      <w:pPr>
        <w:jc w:val="left"/>
        <w:outlineLvl w:val="3"/>
        <w:rPr>
          <w:rFonts w:ascii="Times New Roman" w:hAnsi="Times New Roman" w:eastAsia="仿宋_GB2312" w:cs="Times New Roman"/>
          <w:sz w:val="28"/>
          <w:szCs w:val="28"/>
        </w:rPr>
      </w:pPr>
      <w:r>
        <w:rPr>
          <w:rFonts w:hint="eastAsia" w:ascii="仿宋_GB2312" w:hAnsi="仿宋_GB2312" w:eastAsia="仿宋_GB2312" w:cs="仿宋_GB2312"/>
          <w:sz w:val="28"/>
          <w:szCs w:val="28"/>
        </w:rPr>
        <w:t>名称：</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4657"/>
        <w:gridCol w:w="891"/>
        <w:gridCol w:w="117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804"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4657"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指标</w:t>
            </w:r>
          </w:p>
        </w:tc>
        <w:tc>
          <w:tcPr>
            <w:tcW w:w="891"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单位</w:t>
            </w:r>
          </w:p>
        </w:tc>
        <w:tc>
          <w:tcPr>
            <w:tcW w:w="1170" w:type="dxa"/>
            <w:vAlign w:val="center"/>
          </w:tcPr>
          <w:p>
            <w:pPr>
              <w:jc w:val="center"/>
              <w:outlineLvl w:val="1"/>
              <w:rPr>
                <w:rFonts w:ascii="Times New Roman" w:hAnsi="Times New Roman" w:eastAsia="黑体" w:cs="Times New Roman"/>
                <w:sz w:val="24"/>
                <w:szCs w:val="24"/>
              </w:rPr>
            </w:pPr>
            <w:r>
              <w:rPr>
                <w:rFonts w:ascii="Times New Roman" w:hAnsi="Times New Roman" w:eastAsia="黑体" w:cs="Times New Roman"/>
                <w:sz w:val="24"/>
                <w:szCs w:val="24"/>
              </w:rPr>
              <w:t>2022年</w:t>
            </w:r>
          </w:p>
        </w:tc>
        <w:tc>
          <w:tcPr>
            <w:tcW w:w="982" w:type="dxa"/>
            <w:vAlign w:val="center"/>
          </w:tcPr>
          <w:p>
            <w:pPr>
              <w:jc w:val="center"/>
              <w:outlineLvl w:val="1"/>
              <w:rPr>
                <w:rFonts w:ascii="Times New Roman" w:hAnsi="Times New Roman" w:eastAsia="黑体" w:cs="Times New Roman"/>
                <w:sz w:val="24"/>
                <w:szCs w:val="24"/>
              </w:rPr>
            </w:pPr>
            <w:r>
              <w:rPr>
                <w:rFonts w:hint="eastAsia"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jc w:val="center"/>
              <w:outlineLvl w:val="1"/>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年生均财政拨款水平</w:t>
            </w:r>
          </w:p>
        </w:tc>
        <w:tc>
          <w:tcPr>
            <w:tcW w:w="891"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元</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年财政专项拨款</w:t>
            </w:r>
          </w:p>
        </w:tc>
        <w:tc>
          <w:tcPr>
            <w:tcW w:w="891"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万元</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restart"/>
            <w:vAlign w:val="center"/>
          </w:tcPr>
          <w:p>
            <w:pPr>
              <w:jc w:val="center"/>
              <w:outlineLvl w:val="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教职员工额定编制数</w:t>
            </w:r>
          </w:p>
        </w:tc>
        <w:tc>
          <w:tcPr>
            <w:tcW w:w="891"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continue"/>
            <w:vAlign w:val="center"/>
          </w:tcPr>
          <w:p>
            <w:pPr>
              <w:jc w:val="center"/>
              <w:outlineLvl w:val="1"/>
              <w:rPr>
                <w:rFonts w:ascii="Times New Roman" w:hAnsi="Times New Roman" w:eastAsia="仿宋_GB2312" w:cs="Times New Roman"/>
                <w:sz w:val="24"/>
                <w:szCs w:val="24"/>
              </w:rPr>
            </w:pP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教职工总数</w:t>
            </w:r>
          </w:p>
        </w:tc>
        <w:tc>
          <w:tcPr>
            <w:tcW w:w="891"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continue"/>
            <w:vAlign w:val="center"/>
          </w:tcPr>
          <w:p>
            <w:pPr>
              <w:jc w:val="center"/>
              <w:outlineLvl w:val="1"/>
              <w:rPr>
                <w:rFonts w:ascii="Times New Roman" w:hAnsi="Times New Roman" w:eastAsia="仿宋_GB2312" w:cs="Times New Roman"/>
                <w:sz w:val="24"/>
                <w:szCs w:val="24"/>
              </w:rPr>
            </w:pP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其中：专任教师总数</w:t>
            </w:r>
          </w:p>
        </w:tc>
        <w:tc>
          <w:tcPr>
            <w:tcW w:w="891"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jc w:val="center"/>
              <w:outlineLvl w:val="1"/>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企业提供的校内实践教学设备值</w:t>
            </w:r>
          </w:p>
        </w:tc>
        <w:tc>
          <w:tcPr>
            <w:tcW w:w="891" w:type="dxa"/>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万元</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restart"/>
            <w:vAlign w:val="center"/>
          </w:tcPr>
          <w:p>
            <w:pPr>
              <w:jc w:val="center"/>
              <w:outlineLvl w:val="1"/>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企业兼职教师年课时总量</w:t>
            </w:r>
          </w:p>
        </w:tc>
        <w:tc>
          <w:tcPr>
            <w:tcW w:w="891" w:type="dxa"/>
            <w:vAlign w:val="center"/>
          </w:tcPr>
          <w:p>
            <w:pPr>
              <w:widowControl/>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kern w:val="0"/>
                <w:sz w:val="24"/>
                <w:szCs w:val="24"/>
              </w:rPr>
              <w:t>课时</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continue"/>
            <w:vAlign w:val="center"/>
          </w:tcPr>
          <w:p>
            <w:pPr>
              <w:jc w:val="center"/>
              <w:outlineLvl w:val="1"/>
              <w:rPr>
                <w:rFonts w:ascii="Times New Roman" w:hAnsi="Times New Roman" w:eastAsia="仿宋_GB2312" w:cs="Times New Roman"/>
                <w:sz w:val="24"/>
                <w:szCs w:val="24"/>
              </w:rPr>
            </w:pP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年支付企业兼职教师课酬</w:t>
            </w:r>
          </w:p>
        </w:tc>
        <w:tc>
          <w:tcPr>
            <w:tcW w:w="891" w:type="dxa"/>
            <w:vAlign w:val="center"/>
          </w:tcPr>
          <w:p>
            <w:pPr>
              <w:widowControl/>
              <w:spacing w:line="360" w:lineRule="exact"/>
              <w:jc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kern w:val="0"/>
                <w:sz w:val="24"/>
                <w:szCs w:val="24"/>
              </w:rPr>
              <w:t>万</w:t>
            </w:r>
            <w:r>
              <w:rPr>
                <w:rFonts w:ascii="Times New Roman" w:hAnsi="Times New Roman" w:eastAsia="仿宋_GB2312"/>
                <w:kern w:val="0"/>
                <w:sz w:val="24"/>
                <w:szCs w:val="24"/>
              </w:rPr>
              <w:t>元</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restart"/>
            <w:vAlign w:val="center"/>
          </w:tcPr>
          <w:p>
            <w:pPr>
              <w:jc w:val="center"/>
              <w:outlineLvl w:val="1"/>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年实习专项经费</w:t>
            </w:r>
          </w:p>
        </w:tc>
        <w:tc>
          <w:tcPr>
            <w:tcW w:w="891" w:type="dxa"/>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万元</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Merge w:val="continue"/>
            <w:vAlign w:val="center"/>
          </w:tcPr>
          <w:p>
            <w:pPr>
              <w:jc w:val="center"/>
              <w:outlineLvl w:val="1"/>
              <w:rPr>
                <w:rFonts w:ascii="Times New Roman" w:hAnsi="Times New Roman" w:eastAsia="仿宋_GB2312" w:cs="Times New Roman"/>
                <w:sz w:val="24"/>
                <w:szCs w:val="24"/>
              </w:rPr>
            </w:pPr>
          </w:p>
        </w:tc>
        <w:tc>
          <w:tcPr>
            <w:tcW w:w="4657" w:type="dxa"/>
            <w:vAlign w:val="center"/>
          </w:tcPr>
          <w:p>
            <w:pPr>
              <w:widowControl/>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其中：年实习责任保险经费</w:t>
            </w:r>
          </w:p>
        </w:tc>
        <w:tc>
          <w:tcPr>
            <w:tcW w:w="891" w:type="dxa"/>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万元</w:t>
            </w:r>
          </w:p>
        </w:tc>
        <w:tc>
          <w:tcPr>
            <w:tcW w:w="1170" w:type="dxa"/>
            <w:vAlign w:val="center"/>
          </w:tcPr>
          <w:p>
            <w:pPr>
              <w:widowControl/>
              <w:jc w:val="center"/>
              <w:textAlignment w:val="center"/>
              <w:rPr>
                <w:rFonts w:ascii="Times New Roman" w:hAnsi="Times New Roman" w:eastAsia="仿宋_GB2312" w:cs="Times New Roman"/>
                <w:color w:val="000000"/>
                <w:kern w:val="0"/>
                <w:sz w:val="24"/>
                <w:szCs w:val="24"/>
                <w:lang w:bidi="ar"/>
              </w:rPr>
            </w:pPr>
          </w:p>
        </w:tc>
        <w:tc>
          <w:tcPr>
            <w:tcW w:w="982" w:type="dxa"/>
            <w:vAlign w:val="center"/>
          </w:tcPr>
          <w:p>
            <w:pPr>
              <w:widowControl/>
              <w:ind w:left="-105" w:leftChars="-50" w:right="-105" w:rightChars="-50"/>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引用</w:t>
            </w:r>
          </w:p>
        </w:tc>
      </w:tr>
    </w:tbl>
    <w:p>
      <w:pPr>
        <w:numPr>
          <w:ilvl w:val="0"/>
          <w:numId w:val="9"/>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年生均财政拨款水平</w:t>
      </w:r>
      <w:r>
        <w:rPr>
          <w:rFonts w:hint="eastAsia" w:ascii="Times New Roman" w:hAnsi="Times New Roman" w:eastAsia="仿宋_GB2312"/>
          <w:sz w:val="32"/>
          <w:szCs w:val="32"/>
        </w:rPr>
        <w:t>：指学校按照生均拨款制度获取的财政拨款经费。</w:t>
      </w:r>
    </w:p>
    <w:p>
      <w:pPr>
        <w:numPr>
          <w:ilvl w:val="0"/>
          <w:numId w:val="9"/>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年财政专项经费：</w:t>
      </w:r>
      <w:r>
        <w:rPr>
          <w:rFonts w:hint="eastAsia" w:ascii="Times New Roman" w:hAnsi="Times New Roman" w:eastAsia="仿宋_GB2312"/>
          <w:sz w:val="32"/>
          <w:szCs w:val="32"/>
        </w:rPr>
        <w:t>指学校从同级财政部门获得的具有专门用途的拨款收入。</w:t>
      </w:r>
    </w:p>
    <w:p>
      <w:pPr>
        <w:numPr>
          <w:ilvl w:val="0"/>
          <w:numId w:val="9"/>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教职工额定编制数：</w:t>
      </w:r>
      <w:r>
        <w:rPr>
          <w:rFonts w:hint="eastAsia" w:ascii="Times New Roman" w:hAnsi="Times New Roman" w:eastAsia="仿宋_GB2312"/>
          <w:bCs/>
          <w:sz w:val="32"/>
          <w:szCs w:val="32"/>
        </w:rPr>
        <w:t>公办学校是指人事关系和档案均在学校并纳入学校人事编制的额定数，包括管理人员编制、专业技术人员编制、工勤人员编制总数量。民办学校是指举办集团（企业）确定的学校教职工规模。</w:t>
      </w:r>
      <w:r>
        <w:rPr>
          <w:rFonts w:hint="eastAsia" w:ascii="Times New Roman" w:hAnsi="Times New Roman" w:eastAsia="仿宋_GB2312"/>
          <w:b/>
          <w:bCs/>
          <w:sz w:val="32"/>
          <w:szCs w:val="32"/>
        </w:rPr>
        <w:t>教职工总数</w:t>
      </w:r>
      <w:r>
        <w:rPr>
          <w:rFonts w:hint="eastAsia" w:ascii="Times New Roman" w:hAnsi="Times New Roman" w:eastAsia="仿宋_GB2312"/>
          <w:sz w:val="32"/>
          <w:szCs w:val="32"/>
        </w:rPr>
        <w:t>指学校根据岗位聘用的全职为学校工作的人员（含事业编制、人事代理和签订一年以上聘用合同人员），不含离退休人员。</w:t>
      </w:r>
      <w:r>
        <w:rPr>
          <w:rFonts w:hint="eastAsia" w:ascii="Times New Roman" w:hAnsi="Times New Roman" w:eastAsia="仿宋_GB2312"/>
          <w:b/>
          <w:bCs/>
          <w:sz w:val="32"/>
          <w:szCs w:val="32"/>
        </w:rPr>
        <w:t>专任教师总数</w:t>
      </w:r>
      <w:r>
        <w:rPr>
          <w:rFonts w:hint="eastAsia" w:ascii="Times New Roman" w:hAnsi="Times New Roman" w:eastAsia="仿宋_GB2312"/>
          <w:sz w:val="32"/>
          <w:szCs w:val="32"/>
        </w:rPr>
        <w:t>指具有高等教育学校教师资格，学校根据《关于高等学校岗位设置管理的指导意见》聘用的专职从事教学工作的教学为主型岗位和教学科研型岗位人员，包括校内兼课的双肩挑教师。</w:t>
      </w:r>
    </w:p>
    <w:p>
      <w:pPr>
        <w:numPr>
          <w:ilvl w:val="0"/>
          <w:numId w:val="9"/>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企业提供的校内实践教学设备值</w:t>
      </w:r>
      <w:r>
        <w:rPr>
          <w:rFonts w:hint="eastAsia" w:ascii="Times New Roman" w:hAnsi="Times New Roman" w:eastAsia="仿宋_GB2312"/>
          <w:sz w:val="32"/>
          <w:szCs w:val="32"/>
        </w:rPr>
        <w:t>：指企业为学校提供的实践教学设备（设备在学校，产权属企业，学校有使用权）的总资产值。按照企业采购原值计算。</w:t>
      </w:r>
    </w:p>
    <w:p>
      <w:pPr>
        <w:numPr>
          <w:ilvl w:val="0"/>
          <w:numId w:val="9"/>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企业兼职教师年课时总量</w:t>
      </w:r>
      <w:r>
        <w:rPr>
          <w:rFonts w:hint="eastAsia" w:ascii="Times New Roman" w:hAnsi="Times New Roman" w:eastAsia="仿宋_GB2312"/>
          <w:sz w:val="32"/>
          <w:szCs w:val="32"/>
        </w:rPr>
        <w:t>：指企业兼职教师2021-2022学年为学生授课课时总量。</w:t>
      </w:r>
      <w:r>
        <w:rPr>
          <w:rFonts w:hint="eastAsia" w:ascii="Times New Roman" w:hAnsi="Times New Roman" w:eastAsia="仿宋_GB2312"/>
          <w:b/>
          <w:bCs/>
          <w:sz w:val="32"/>
          <w:szCs w:val="32"/>
        </w:rPr>
        <w:t>年支付企业兼职教师课酬</w:t>
      </w:r>
      <w:r>
        <w:rPr>
          <w:rFonts w:hint="eastAsia" w:ascii="Times New Roman" w:hAnsi="Times New Roman" w:eastAsia="仿宋_GB2312"/>
          <w:sz w:val="32"/>
          <w:szCs w:val="32"/>
        </w:rPr>
        <w:t>指学校2021-2022学年用于支付企业兼职（行业导师）教师担任专业理论课、专业实践课教师的课时费总金额，兼课教师费用、企业兼职教师（行业导师）授课以外的费用不能统计在内。</w:t>
      </w:r>
    </w:p>
    <w:p>
      <w:pPr>
        <w:numPr>
          <w:ilvl w:val="0"/>
          <w:numId w:val="9"/>
        </w:numPr>
        <w:tabs>
          <w:tab w:val="left" w:pos="958"/>
          <w:tab w:val="left" w:pos="1078"/>
        </w:tabs>
        <w:ind w:left="-10" w:firstLine="640"/>
        <w:rPr>
          <w:rFonts w:ascii="Times New Roman" w:hAnsi="Times New Roman" w:eastAsia="仿宋_GB2312"/>
          <w:sz w:val="32"/>
          <w:szCs w:val="32"/>
        </w:rPr>
      </w:pPr>
      <w:r>
        <w:rPr>
          <w:rFonts w:hint="eastAsia" w:ascii="Times New Roman" w:hAnsi="Times New Roman" w:eastAsia="仿宋_GB2312"/>
          <w:b/>
          <w:bCs/>
          <w:sz w:val="32"/>
          <w:szCs w:val="32"/>
        </w:rPr>
        <w:t>年实习专项经费：</w:t>
      </w:r>
      <w:r>
        <w:rPr>
          <w:rFonts w:hint="eastAsia" w:ascii="Times New Roman" w:hAnsi="Times New Roman" w:eastAsia="仿宋_GB2312"/>
          <w:sz w:val="32"/>
          <w:szCs w:val="32"/>
        </w:rPr>
        <w:t>指学校2021年自然年度用于教学计划内的学生实习教学运行（如学生实习的交通费、住宿费、保险费、教师指导费等）以及校内外实习基地建设的经费。其中，</w:t>
      </w:r>
      <w:r>
        <w:rPr>
          <w:rFonts w:hint="eastAsia" w:ascii="Times New Roman" w:hAnsi="Times New Roman" w:eastAsia="仿宋_GB2312"/>
          <w:b/>
          <w:bCs/>
          <w:sz w:val="32"/>
          <w:szCs w:val="32"/>
        </w:rPr>
        <w:t>年实习责任保险经费</w:t>
      </w:r>
      <w:r>
        <w:rPr>
          <w:rFonts w:hint="eastAsia" w:ascii="Times New Roman" w:hAnsi="Times New Roman" w:eastAsia="仿宋_GB2312"/>
          <w:sz w:val="32"/>
          <w:szCs w:val="32"/>
        </w:rPr>
        <w:t>为学校购买学生实习责任保险等相关险种的经费开支。</w:t>
      </w:r>
    </w:p>
    <w:p>
      <w:pPr>
        <w:widowControl/>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3</w:t>
      </w:r>
    </w:p>
    <w:p>
      <w:pPr>
        <w:adjustRightInd w:val="0"/>
        <w:snapToGrid w:val="0"/>
        <w:rPr>
          <w:rFonts w:ascii="黑体" w:hAnsi="黑体" w:eastAsia="黑体" w:cs="黑体"/>
          <w:sz w:val="32"/>
          <w:szCs w:val="32"/>
        </w:rPr>
      </w:pPr>
    </w:p>
    <w:p>
      <w:pPr>
        <w:pStyle w:val="3"/>
        <w:keepNext w:val="0"/>
        <w:keepLines w:val="0"/>
        <w:widowControl/>
        <w:spacing w:before="312" w:beforeLines="100" w:after="624" w:afterLines="200" w:line="640" w:lineRule="exact"/>
        <w:jc w:val="center"/>
        <w:rPr>
          <w:rFonts w:ascii="Times New Roman" w:hAnsi="Times New Roman" w:eastAsia="方正小标宋简体" w:cs="Times New Roman"/>
          <w:b w:val="0"/>
          <w:sz w:val="44"/>
          <w:szCs w:val="44"/>
        </w:rPr>
      </w:pPr>
      <w:r>
        <w:rPr>
          <w:rFonts w:hint="eastAsia" w:ascii="Times New Roman" w:hAnsi="Times New Roman" w:eastAsia="方正小标宋简体" w:cs="Times New Roman"/>
          <w:b w:val="0"/>
          <w:sz w:val="44"/>
          <w:szCs w:val="44"/>
        </w:rPr>
        <w:t>内容真实性责任声明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iCs/>
          <w:sz w:val="32"/>
          <w:szCs w:val="32"/>
          <w:u w:val="single"/>
        </w:rPr>
        <w:t>（填写学校校名全称）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质量年度报告（2023）及相关附件的真实性、完整性和准确性负责。</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snapToGrid w:val="0"/>
        <w:ind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widowControl/>
        <w:snapToGrid w:val="0"/>
        <w:ind w:firstLine="2880" w:firstLineChars="900"/>
        <w:jc w:val="left"/>
        <w:rPr>
          <w:rFonts w:ascii="Times New Roman" w:hAnsi="Times New Roman" w:eastAsia="仿宋_GB2312" w:cs="Times New Roman"/>
          <w:sz w:val="32"/>
          <w:szCs w:val="32"/>
        </w:rPr>
      </w:pPr>
    </w:p>
    <w:p>
      <w:pPr>
        <w:widowControl/>
        <w:snapToGrid w:val="0"/>
        <w:ind w:firstLine="2240" w:firstLineChars="7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hint="eastAsia" w:ascii="Times New Roman" w:hAnsi="Times New Roman" w:eastAsia="仿宋_GB2312" w:cs="Times New Roman"/>
          <w:sz w:val="32"/>
          <w:szCs w:val="32"/>
        </w:rPr>
        <w:t>：</w:t>
      </w:r>
    </w:p>
    <w:p>
      <w:pPr>
        <w:widowControl/>
        <w:snapToGrid w:val="0"/>
        <w:ind w:firstLine="2880" w:firstLineChars="900"/>
        <w:jc w:val="left"/>
        <w:rPr>
          <w:rFonts w:ascii="Times New Roman" w:hAnsi="Times New Roman" w:eastAsia="仿宋_GB2312" w:cs="Times New Roman"/>
          <w:sz w:val="32"/>
          <w:szCs w:val="32"/>
        </w:rPr>
      </w:pPr>
    </w:p>
    <w:p>
      <w:pPr>
        <w:widowControl/>
        <w:snapToGrid w:val="0"/>
        <w:ind w:firstLine="640" w:firstLineChars="200"/>
        <w:jc w:val="right"/>
        <w:rPr>
          <w:rFonts w:ascii="Times New Roman" w:hAnsi="Times New Roman" w:eastAsia="仿宋_GB2312" w:cs="Times New Roman"/>
          <w:sz w:val="32"/>
          <w:szCs w:val="32"/>
        </w:rPr>
      </w:pPr>
    </w:p>
    <w:p>
      <w:pPr>
        <w:widowControl/>
        <w:snapToGrid w:val="0"/>
        <w:ind w:firstLine="640" w:firstLineChars="200"/>
        <w:jc w:val="right"/>
        <w:rPr>
          <w:rFonts w:ascii="Times New Roman" w:hAnsi="Times New Roman" w:eastAsia="仿宋_GB2312" w:cs="Times New Roman"/>
          <w:sz w:val="32"/>
          <w:szCs w:val="32"/>
        </w:rPr>
      </w:pPr>
    </w:p>
    <w:p>
      <w:pPr>
        <w:widowControl/>
        <w:snapToGrid w:val="0"/>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w:t>
      </w:r>
    </w:p>
    <w:p>
      <w:pPr>
        <w:ind w:firstLine="560" w:firstLineChars="200"/>
        <w:rPr>
          <w:rFonts w:ascii="Times New Roman" w:hAnsi="Times New Roman" w:eastAsia="仿宋_GB2312" w:cs="Times New Roman"/>
          <w:sz w:val="28"/>
          <w:szCs w:val="28"/>
        </w:rPr>
      </w:pPr>
    </w:p>
    <w:p>
      <w:pPr>
        <w:rPr>
          <w:rFonts w:ascii="Times New Roman" w:hAnsi="Times New Roman" w:eastAsia="仿宋_GB2312"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adjustRightInd w:val="0"/>
        <w:snapToGrid w:val="0"/>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4</w:t>
      </w:r>
    </w:p>
    <w:p>
      <w:pPr>
        <w:pStyle w:val="3"/>
        <w:keepNext w:val="0"/>
        <w:keepLines w:val="0"/>
        <w:widowControl/>
        <w:spacing w:before="312" w:beforeLines="100" w:after="312" w:afterLines="100" w:line="640" w:lineRule="exact"/>
        <w:jc w:val="center"/>
        <w:rPr>
          <w:rFonts w:ascii="Times New Roman" w:hAnsi="Times New Roman" w:eastAsia="方正小标宋简体" w:cs="Times New Roman"/>
          <w:b w:val="0"/>
          <w:sz w:val="44"/>
          <w:szCs w:val="44"/>
        </w:rPr>
      </w:pPr>
      <w:r>
        <w:rPr>
          <w:rFonts w:hint="eastAsia" w:ascii="Times New Roman" w:hAnsi="Times New Roman" w:eastAsia="方正小标宋简体" w:cs="Times New Roman"/>
          <w:b w:val="0"/>
          <w:sz w:val="44"/>
          <w:szCs w:val="44"/>
        </w:rPr>
        <w:t>学校年报（2023）参考框架</w:t>
      </w:r>
    </w:p>
    <w:p>
      <w:pPr>
        <w:pStyle w:val="8"/>
        <w:spacing w:before="0" w:beforeAutospacing="0" w:after="0" w:afterAutospacing="0"/>
        <w:ind w:firstLine="640" w:firstLineChars="200"/>
        <w:jc w:val="both"/>
        <w:outlineLvl w:val="2"/>
        <w:rPr>
          <w:rFonts w:ascii="Times New Roman" w:hAnsi="Times New Roman" w:eastAsia="仿宋_GB2312" w:cs="Times New Roman"/>
          <w:sz w:val="32"/>
          <w:szCs w:val="32"/>
        </w:rPr>
      </w:pPr>
      <w:r>
        <w:rPr>
          <w:rFonts w:hint="eastAsia" w:ascii="Times New Roman" w:hAnsi="Times New Roman" w:eastAsia="黑体" w:cs="Times New Roman"/>
          <w:sz w:val="32"/>
          <w:szCs w:val="32"/>
          <w:shd w:val="clear" w:color="auto" w:fill="FFFFFF"/>
        </w:rPr>
        <w:t>一、关于年报文本的几点说明</w:t>
      </w:r>
    </w:p>
    <w:p>
      <w:pPr>
        <w:numPr>
          <w:ilvl w:val="0"/>
          <w:numId w:val="10"/>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各学校应根据所在地区、不同产业、不同类型的办学特点，在充分调研分析和认真总结提炼基础上编制年报，如实反映职业教育人才培养质量和办学水平。以第三人称编制，避免出现“我校”的表述。</w:t>
      </w:r>
    </w:p>
    <w:p>
      <w:pPr>
        <w:numPr>
          <w:ilvl w:val="0"/>
          <w:numId w:val="10"/>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年报文本由封面、内容真实性责任声明、目录、表目录、图目录、案例目录、正文、封底等构成。</w:t>
      </w:r>
    </w:p>
    <w:p>
      <w:pPr>
        <w:numPr>
          <w:ilvl w:val="0"/>
          <w:numId w:val="10"/>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目录需为二级或三级目录。</w:t>
      </w:r>
    </w:p>
    <w:p>
      <w:pPr>
        <w:numPr>
          <w:ilvl w:val="0"/>
          <w:numId w:val="10"/>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文一般由学生发展质量、教育教学质量、国际合作质量、服务贡献质量、政策落实质量和面临挑战六个部分构成。每部分均要有支撑本部分内容的3~7张图片、3~7个数据分析图、3~7个数据分析表、3~7个典型案例。建议正文前有前言，以说明编制目的、编制过程和年度特点或亮点。</w:t>
      </w:r>
    </w:p>
    <w:p>
      <w:pPr>
        <w:numPr>
          <w:ilvl w:val="0"/>
          <w:numId w:val="10"/>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片选择需把握五个原则，一是图片不存在侵权问题；二是反映所在板块主题，突出学生的阳光、自信、成长；三是全文图片大小一致，每幅图片单独插入，尽量不组合图片；四是每幅图片下方均配有文字说明；五是图片为JPEG格式，像素不小于1600×1200，分辨率不低于300dpi。</w:t>
      </w:r>
    </w:p>
    <w:p>
      <w:pPr>
        <w:numPr>
          <w:ilvl w:val="0"/>
          <w:numId w:val="10"/>
        </w:numPr>
        <w:tabs>
          <w:tab w:val="left" w:pos="958"/>
          <w:tab w:val="left" w:pos="1078"/>
        </w:tabs>
        <w:ind w:left="-11" w:firstLine="641"/>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典型案例独立成文，需把握好“五有”原则，即有案例编号、有标题（不超16字）、有具体做法、有示范推广价值、有精准描述（300~500字）。</w:t>
      </w:r>
    </w:p>
    <w:p>
      <w:pPr>
        <w:pStyle w:val="8"/>
        <w:spacing w:before="0" w:beforeAutospacing="0" w:after="0" w:afterAutospacing="0"/>
        <w:ind w:firstLine="640" w:firstLineChars="200"/>
        <w:jc w:val="both"/>
        <w:outlineLvl w:val="2"/>
        <w:rPr>
          <w:rFonts w:ascii="Times New Roman" w:hAnsi="Times New Roman" w:eastAsia="仿宋_GB2312" w:cs="Times New Roman"/>
          <w:sz w:val="32"/>
          <w:szCs w:val="32"/>
        </w:rPr>
      </w:pPr>
      <w:r>
        <w:rPr>
          <w:rFonts w:hint="eastAsia" w:ascii="Times New Roman" w:hAnsi="Times New Roman" w:eastAsia="黑体" w:cs="Times New Roman"/>
          <w:sz w:val="32"/>
          <w:szCs w:val="32"/>
          <w:shd w:val="clear" w:color="auto" w:fill="FFFFFF"/>
        </w:rPr>
        <w:t>二、年报框架参考（可根据学校实际进行调整）</w:t>
      </w:r>
    </w:p>
    <w:p>
      <w:pPr>
        <w:tabs>
          <w:tab w:val="left" w:pos="958"/>
          <w:tab w:val="left" w:pos="1078"/>
        </w:tabs>
        <w:ind w:firstLine="640" w:firstLineChars="200"/>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学生发展质量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1.1党建引领</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1.2立德树人</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1.3在校体验</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1.4就业质量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1.5创新创业</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1.6技能大赛</w:t>
      </w:r>
    </w:p>
    <w:p>
      <w:pPr>
        <w:tabs>
          <w:tab w:val="left" w:pos="958"/>
          <w:tab w:val="left" w:pos="1078"/>
        </w:tabs>
        <w:ind w:firstLine="640" w:firstLineChars="200"/>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教育教学质量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2.1专业建设质量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2.2课程建设质量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2.3教学方法改革</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2.4教材建设质量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2.5数字化教学资源建设</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2.6师资队伍建设</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2.7校企双元育人</w:t>
      </w:r>
    </w:p>
    <w:p>
      <w:pPr>
        <w:tabs>
          <w:tab w:val="left" w:pos="958"/>
          <w:tab w:val="left" w:pos="1078"/>
        </w:tabs>
        <w:ind w:firstLine="640" w:firstLineChars="200"/>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国际合作质量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3.1留学生培养质量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3.2合作办学质量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3.3开发标准质量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3.4国（境）外独立办学质量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3.5助力“一带一路”建设质量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3.6提升学生国际化素养质量</w:t>
      </w:r>
    </w:p>
    <w:p>
      <w:pPr>
        <w:tabs>
          <w:tab w:val="left" w:pos="958"/>
          <w:tab w:val="left" w:pos="1078"/>
        </w:tabs>
        <w:ind w:firstLine="640" w:firstLineChars="200"/>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服务贡献质量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4.1服务行业企业</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4.2服务地方发展</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4.3服务乡村振兴</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4.4服务地方社区</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4.5具有地域特色的服务</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4.6具有本校特色的服务</w:t>
      </w:r>
    </w:p>
    <w:p>
      <w:pPr>
        <w:tabs>
          <w:tab w:val="left" w:pos="958"/>
          <w:tab w:val="left" w:pos="1078"/>
        </w:tabs>
        <w:ind w:firstLine="640" w:firstLineChars="200"/>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政策落实质量</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国家政策落实</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地方政策落实</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学校治理</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5.4质量保证体系建设</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5.5经费投入</w:t>
      </w:r>
    </w:p>
    <w:p>
      <w:pPr>
        <w:tabs>
          <w:tab w:val="left" w:pos="958"/>
          <w:tab w:val="left" w:pos="1078"/>
        </w:tabs>
        <w:ind w:firstLine="640" w:firstLineChars="200"/>
        <w:outlineLvl w:val="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面临挑战</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挑战1：</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挑战2：</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挑战3：</w:t>
      </w:r>
    </w:p>
    <w:p>
      <w:pPr>
        <w:tabs>
          <w:tab w:val="left" w:pos="958"/>
          <w:tab w:val="left" w:pos="1078"/>
        </w:tabs>
        <w:ind w:firstLine="640" w:firstLineChars="200"/>
        <w:outlineLvl w:val="5"/>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附表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中职</w:t>
      </w:r>
      <w:r>
        <w:rPr>
          <w:rFonts w:hint="eastAsia" w:ascii="Times New Roman" w:hAnsi="Times New Roman" w:eastAsia="仿宋_GB2312" w:cs="Times New Roman"/>
          <w:sz w:val="32"/>
          <w:szCs w:val="32"/>
          <w:lang w:eastAsia="zh-CN"/>
        </w:rPr>
        <w:t>）</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表1 中等职业教育质量数据表</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表2 满意度调查表</w:t>
      </w:r>
    </w:p>
    <w:p>
      <w:pPr>
        <w:tabs>
          <w:tab w:val="left" w:pos="958"/>
          <w:tab w:val="left" w:pos="1078"/>
        </w:tabs>
        <w:ind w:firstLine="640" w:firstLineChars="200"/>
        <w:outlineLvl w:val="5"/>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附表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高职</w:t>
      </w:r>
      <w:r>
        <w:rPr>
          <w:rFonts w:hint="eastAsia" w:ascii="Times New Roman" w:hAnsi="Times New Roman" w:eastAsia="仿宋_GB2312" w:cs="Times New Roman"/>
          <w:sz w:val="32"/>
          <w:szCs w:val="32"/>
          <w:lang w:eastAsia="zh-CN"/>
        </w:rPr>
        <w:t>）</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表1 计分卡</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表2 满意度调查表</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表3 教学资源表</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表4 国际影响表</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表5 服务贡献表</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表6 落实政策表</w:t>
      </w:r>
    </w:p>
    <w:p>
      <w:pPr>
        <w:tabs>
          <w:tab w:val="left" w:pos="958"/>
          <w:tab w:val="left" w:pos="1078"/>
        </w:tabs>
        <w:ind w:firstLine="643" w:firstLineChars="200"/>
        <w:outlineLvl w:val="5"/>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高职院校提供。</w:t>
      </w:r>
      <w:r>
        <w:rPr>
          <w:rFonts w:hint="eastAsia" w:ascii="Times New Roman" w:hAnsi="Times New Roman" w:eastAsia="仿宋_GB2312" w:cs="Times New Roman"/>
          <w:b/>
          <w:bCs/>
          <w:sz w:val="32"/>
          <w:szCs w:val="32"/>
        </w:rPr>
        <w:t>请单独成册，不与年报共同编排）</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横向技术服务产生的经济效益一览表</w:t>
      </w:r>
    </w:p>
    <w:p>
      <w:pPr>
        <w:tabs>
          <w:tab w:val="left" w:pos="958"/>
          <w:tab w:val="left" w:pos="1078"/>
        </w:tabs>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 横向技术服务产生经济效益证明复印件</w:t>
      </w:r>
    </w:p>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BE986"/>
    <w:multiLevelType w:val="multilevel"/>
    <w:tmpl w:val="C63BE986"/>
    <w:lvl w:ilvl="0" w:tentative="0">
      <w:start w:val="1"/>
      <w:numFmt w:val="decimal"/>
      <w:lvlText w:val="%1."/>
      <w:lvlJc w:val="left"/>
      <w:pPr>
        <w:ind w:left="850" w:hanging="425"/>
      </w:pPr>
      <w:rPr>
        <w:rFonts w:hint="default"/>
        <w:b/>
        <w:bCs/>
        <w:sz w:val="32"/>
        <w:szCs w:val="32"/>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095A0EB6"/>
    <w:multiLevelType w:val="multilevel"/>
    <w:tmpl w:val="095A0EB6"/>
    <w:lvl w:ilvl="0" w:tentative="0">
      <w:start w:val="1"/>
      <w:numFmt w:val="decimal"/>
      <w:lvlText w:val="%1."/>
      <w:lvlJc w:val="left"/>
      <w:pPr>
        <w:ind w:left="41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0DDA4AC0"/>
    <w:multiLevelType w:val="multilevel"/>
    <w:tmpl w:val="0DDA4AC0"/>
    <w:lvl w:ilvl="0" w:tentative="0">
      <w:start w:val="1"/>
      <w:numFmt w:val="decimal"/>
      <w:lvlText w:val="%1."/>
      <w:lvlJc w:val="left"/>
      <w:pPr>
        <w:ind w:left="41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1AFA83B6"/>
    <w:multiLevelType w:val="multilevel"/>
    <w:tmpl w:val="1AFA83B6"/>
    <w:lvl w:ilvl="0" w:tentative="0">
      <w:start w:val="1"/>
      <w:numFmt w:val="decimal"/>
      <w:lvlText w:val="%1."/>
      <w:lvlJc w:val="left"/>
      <w:pPr>
        <w:ind w:left="415" w:hanging="425"/>
      </w:pPr>
      <w:rPr>
        <w:rFonts w:hint="default"/>
        <w:b/>
        <w:bCs/>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4">
    <w:nsid w:val="3BBDEB5D"/>
    <w:multiLevelType w:val="singleLevel"/>
    <w:tmpl w:val="3BBDEB5D"/>
    <w:lvl w:ilvl="0" w:tentative="0">
      <w:start w:val="1"/>
      <w:numFmt w:val="decimal"/>
      <w:suff w:val="space"/>
      <w:lvlText w:val="%1."/>
      <w:lvlJc w:val="left"/>
      <w:rPr>
        <w:rFonts w:hint="default"/>
        <w:b/>
        <w:bCs/>
      </w:rPr>
    </w:lvl>
  </w:abstractNum>
  <w:abstractNum w:abstractNumId="5">
    <w:nsid w:val="4A26EE50"/>
    <w:multiLevelType w:val="multilevel"/>
    <w:tmpl w:val="4A26EE50"/>
    <w:lvl w:ilvl="0" w:tentative="0">
      <w:start w:val="1"/>
      <w:numFmt w:val="decimal"/>
      <w:lvlText w:val="%1."/>
      <w:lvlJc w:val="left"/>
      <w:pPr>
        <w:ind w:left="415" w:hanging="425"/>
      </w:pPr>
      <w:rPr>
        <w:rFonts w:hint="default"/>
        <w:b/>
        <w:bCs/>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6">
    <w:nsid w:val="67E2DCD5"/>
    <w:multiLevelType w:val="multilevel"/>
    <w:tmpl w:val="67E2DCD5"/>
    <w:lvl w:ilvl="0" w:tentative="0">
      <w:start w:val="1"/>
      <w:numFmt w:val="decimal"/>
      <w:lvlText w:val="%1."/>
      <w:lvlJc w:val="left"/>
      <w:pPr>
        <w:ind w:left="415" w:hanging="425"/>
      </w:pPr>
      <w:rPr>
        <w:rFonts w:hint="default"/>
        <w:b/>
        <w:bCs/>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7">
    <w:nsid w:val="6FF1E9CA"/>
    <w:multiLevelType w:val="multilevel"/>
    <w:tmpl w:val="6FF1E9CA"/>
    <w:lvl w:ilvl="0" w:tentative="0">
      <w:start w:val="1"/>
      <w:numFmt w:val="decimal"/>
      <w:lvlText w:val="%1."/>
      <w:lvlJc w:val="left"/>
      <w:pPr>
        <w:ind w:left="415" w:hanging="425"/>
      </w:pPr>
      <w:rPr>
        <w:rFonts w:hint="default"/>
        <w:b/>
        <w:bCs/>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8">
    <w:nsid w:val="727269BD"/>
    <w:multiLevelType w:val="multilevel"/>
    <w:tmpl w:val="727269BD"/>
    <w:lvl w:ilvl="0" w:tentative="0">
      <w:start w:val="1"/>
      <w:numFmt w:val="decimal"/>
      <w:lvlText w:val="%1."/>
      <w:lvlJc w:val="left"/>
      <w:pPr>
        <w:ind w:left="415" w:hanging="425"/>
      </w:pPr>
      <w:rPr>
        <w:rFonts w:hint="default"/>
        <w:b/>
        <w:bCs/>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9">
    <w:nsid w:val="79A0EBDD"/>
    <w:multiLevelType w:val="multilevel"/>
    <w:tmpl w:val="79A0EBDD"/>
    <w:lvl w:ilvl="0" w:tentative="0">
      <w:start w:val="1"/>
      <w:numFmt w:val="decimal"/>
      <w:lvlText w:val="%1."/>
      <w:lvlJc w:val="left"/>
      <w:pPr>
        <w:ind w:left="41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7"/>
  </w:num>
  <w:num w:numId="2">
    <w:abstractNumId w:val="9"/>
  </w:num>
  <w:num w:numId="3">
    <w:abstractNumId w:val="1"/>
  </w:num>
  <w:num w:numId="4">
    <w:abstractNumId w:val="4"/>
  </w:num>
  <w:num w:numId="5">
    <w:abstractNumId w:val="5"/>
  </w:num>
  <w:num w:numId="6">
    <w:abstractNumId w:val="3"/>
  </w:num>
  <w:num w:numId="7">
    <w:abstractNumId w:val="6"/>
  </w:num>
  <w:num w:numId="8">
    <w:abstractNumId w:val="0"/>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宗诚">
    <w15:presenceInfo w15:providerId="WPS Office" w15:userId="3761262097"/>
  </w15:person>
  <w15:person w15:author="烟如织">
    <w15:presenceInfo w15:providerId="WPS Office" w15:userId="4029236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zEyNDAzMGVlNzc3MmMxZmJkZDdhZTUxMzExM2IifQ=="/>
  </w:docVars>
  <w:rsids>
    <w:rsidRoot w:val="73471FC8"/>
    <w:rsid w:val="00011B8A"/>
    <w:rsid w:val="00043E56"/>
    <w:rsid w:val="000551BE"/>
    <w:rsid w:val="00077B78"/>
    <w:rsid w:val="00087C79"/>
    <w:rsid w:val="000970D0"/>
    <w:rsid w:val="000C2DC3"/>
    <w:rsid w:val="000D2EB0"/>
    <w:rsid w:val="000E34E5"/>
    <w:rsid w:val="00105AFE"/>
    <w:rsid w:val="0011483A"/>
    <w:rsid w:val="00120B69"/>
    <w:rsid w:val="001219D3"/>
    <w:rsid w:val="001559BB"/>
    <w:rsid w:val="002857FB"/>
    <w:rsid w:val="00291A5C"/>
    <w:rsid w:val="002B2DAC"/>
    <w:rsid w:val="002E2F05"/>
    <w:rsid w:val="00314CAC"/>
    <w:rsid w:val="00362D95"/>
    <w:rsid w:val="00371180"/>
    <w:rsid w:val="00376FD5"/>
    <w:rsid w:val="003F737A"/>
    <w:rsid w:val="004117D6"/>
    <w:rsid w:val="00420A99"/>
    <w:rsid w:val="00422233"/>
    <w:rsid w:val="0042252C"/>
    <w:rsid w:val="004239B6"/>
    <w:rsid w:val="00467852"/>
    <w:rsid w:val="004B6367"/>
    <w:rsid w:val="004B65B3"/>
    <w:rsid w:val="00562EB6"/>
    <w:rsid w:val="005A0E3A"/>
    <w:rsid w:val="005A3EBC"/>
    <w:rsid w:val="005C738F"/>
    <w:rsid w:val="006164DF"/>
    <w:rsid w:val="00624441"/>
    <w:rsid w:val="00721229"/>
    <w:rsid w:val="00782782"/>
    <w:rsid w:val="007A3406"/>
    <w:rsid w:val="007D2764"/>
    <w:rsid w:val="00815DB7"/>
    <w:rsid w:val="00842B28"/>
    <w:rsid w:val="00872559"/>
    <w:rsid w:val="008A2A2B"/>
    <w:rsid w:val="008D47B4"/>
    <w:rsid w:val="00904F33"/>
    <w:rsid w:val="00942C2B"/>
    <w:rsid w:val="009813ED"/>
    <w:rsid w:val="0098448C"/>
    <w:rsid w:val="009A4EBB"/>
    <w:rsid w:val="009E0284"/>
    <w:rsid w:val="00A45937"/>
    <w:rsid w:val="00AA66D2"/>
    <w:rsid w:val="00AB19A4"/>
    <w:rsid w:val="00AC48B3"/>
    <w:rsid w:val="00B03B6C"/>
    <w:rsid w:val="00B4742A"/>
    <w:rsid w:val="00B726E3"/>
    <w:rsid w:val="00B766B3"/>
    <w:rsid w:val="00B865B1"/>
    <w:rsid w:val="00B971AC"/>
    <w:rsid w:val="00C47DF5"/>
    <w:rsid w:val="00CF0895"/>
    <w:rsid w:val="00D0280F"/>
    <w:rsid w:val="00D031D2"/>
    <w:rsid w:val="00D10F6F"/>
    <w:rsid w:val="00D438C4"/>
    <w:rsid w:val="00D838E4"/>
    <w:rsid w:val="00DB3641"/>
    <w:rsid w:val="00DC473C"/>
    <w:rsid w:val="00DD543E"/>
    <w:rsid w:val="00DF729E"/>
    <w:rsid w:val="00EB44AC"/>
    <w:rsid w:val="00EC1AEF"/>
    <w:rsid w:val="00F13F19"/>
    <w:rsid w:val="00F23603"/>
    <w:rsid w:val="00F25658"/>
    <w:rsid w:val="00F53E31"/>
    <w:rsid w:val="00FB0D53"/>
    <w:rsid w:val="010D7DB5"/>
    <w:rsid w:val="01AB5329"/>
    <w:rsid w:val="01FD42EF"/>
    <w:rsid w:val="02160519"/>
    <w:rsid w:val="038A570F"/>
    <w:rsid w:val="03AA4003"/>
    <w:rsid w:val="03F612F2"/>
    <w:rsid w:val="04487E5C"/>
    <w:rsid w:val="04F95547"/>
    <w:rsid w:val="0512093A"/>
    <w:rsid w:val="05EB3D77"/>
    <w:rsid w:val="06540894"/>
    <w:rsid w:val="067D54CB"/>
    <w:rsid w:val="069841E0"/>
    <w:rsid w:val="06DF0467"/>
    <w:rsid w:val="07165953"/>
    <w:rsid w:val="077413BC"/>
    <w:rsid w:val="08225FD4"/>
    <w:rsid w:val="089E7EF4"/>
    <w:rsid w:val="08B81837"/>
    <w:rsid w:val="08F57ACE"/>
    <w:rsid w:val="09150170"/>
    <w:rsid w:val="096A3585"/>
    <w:rsid w:val="0A427B76"/>
    <w:rsid w:val="0A71093C"/>
    <w:rsid w:val="0AF838A6"/>
    <w:rsid w:val="0B646FD0"/>
    <w:rsid w:val="0B8F3BF1"/>
    <w:rsid w:val="0B9B52CF"/>
    <w:rsid w:val="0BE300B2"/>
    <w:rsid w:val="0C1E733C"/>
    <w:rsid w:val="0C3F12A8"/>
    <w:rsid w:val="0C441955"/>
    <w:rsid w:val="0C5E3E25"/>
    <w:rsid w:val="0CEA4A67"/>
    <w:rsid w:val="0D366907"/>
    <w:rsid w:val="0D3D7EB5"/>
    <w:rsid w:val="0D61385B"/>
    <w:rsid w:val="0E52366A"/>
    <w:rsid w:val="0E7C05EF"/>
    <w:rsid w:val="0EB22403"/>
    <w:rsid w:val="0F002C5E"/>
    <w:rsid w:val="0F757C40"/>
    <w:rsid w:val="0F7B0E72"/>
    <w:rsid w:val="0F90063F"/>
    <w:rsid w:val="0FC62F2C"/>
    <w:rsid w:val="0FCA1C6A"/>
    <w:rsid w:val="0FE159E7"/>
    <w:rsid w:val="10090303"/>
    <w:rsid w:val="118130DF"/>
    <w:rsid w:val="11B404E7"/>
    <w:rsid w:val="11DD36C7"/>
    <w:rsid w:val="12416B15"/>
    <w:rsid w:val="127564EA"/>
    <w:rsid w:val="12C25F55"/>
    <w:rsid w:val="12F43D95"/>
    <w:rsid w:val="136F7FDF"/>
    <w:rsid w:val="140E2A87"/>
    <w:rsid w:val="14142BD9"/>
    <w:rsid w:val="145C0BC9"/>
    <w:rsid w:val="147D155D"/>
    <w:rsid w:val="148502FF"/>
    <w:rsid w:val="14B70F45"/>
    <w:rsid w:val="14C519D1"/>
    <w:rsid w:val="14EC18C2"/>
    <w:rsid w:val="15FF197D"/>
    <w:rsid w:val="16375AAD"/>
    <w:rsid w:val="165F6ECF"/>
    <w:rsid w:val="1689612A"/>
    <w:rsid w:val="16CD0EB1"/>
    <w:rsid w:val="177466C0"/>
    <w:rsid w:val="179B0D89"/>
    <w:rsid w:val="17BF5E77"/>
    <w:rsid w:val="183879D7"/>
    <w:rsid w:val="18E70344"/>
    <w:rsid w:val="18F838E7"/>
    <w:rsid w:val="19683C5C"/>
    <w:rsid w:val="19C15B92"/>
    <w:rsid w:val="19D31E29"/>
    <w:rsid w:val="1A3266BD"/>
    <w:rsid w:val="1AB84E59"/>
    <w:rsid w:val="1ACF30D6"/>
    <w:rsid w:val="1B1F571C"/>
    <w:rsid w:val="1B474B95"/>
    <w:rsid w:val="1B670D90"/>
    <w:rsid w:val="1B7D1D67"/>
    <w:rsid w:val="1B9234D4"/>
    <w:rsid w:val="1BA3160C"/>
    <w:rsid w:val="1BB84AB8"/>
    <w:rsid w:val="1BDB3D17"/>
    <w:rsid w:val="1C0523C5"/>
    <w:rsid w:val="1C67413B"/>
    <w:rsid w:val="1C705195"/>
    <w:rsid w:val="1C7C6646"/>
    <w:rsid w:val="1C952FE5"/>
    <w:rsid w:val="1CC13002"/>
    <w:rsid w:val="1CEC2B3E"/>
    <w:rsid w:val="1D172271"/>
    <w:rsid w:val="1D7373F4"/>
    <w:rsid w:val="1DA30EAE"/>
    <w:rsid w:val="1DAD49C3"/>
    <w:rsid w:val="1E4E6FE1"/>
    <w:rsid w:val="1E616BEA"/>
    <w:rsid w:val="1E824773"/>
    <w:rsid w:val="1EFB04C6"/>
    <w:rsid w:val="1F75760F"/>
    <w:rsid w:val="1FDB75C6"/>
    <w:rsid w:val="203F459D"/>
    <w:rsid w:val="208C266E"/>
    <w:rsid w:val="20CF5E72"/>
    <w:rsid w:val="21A64FF0"/>
    <w:rsid w:val="21AA50B3"/>
    <w:rsid w:val="21DF4B4F"/>
    <w:rsid w:val="21E970CB"/>
    <w:rsid w:val="21F663FB"/>
    <w:rsid w:val="22084D63"/>
    <w:rsid w:val="221E7997"/>
    <w:rsid w:val="223E47CF"/>
    <w:rsid w:val="226E3614"/>
    <w:rsid w:val="22711C5A"/>
    <w:rsid w:val="2385094A"/>
    <w:rsid w:val="23C810A3"/>
    <w:rsid w:val="23D94B06"/>
    <w:rsid w:val="24761137"/>
    <w:rsid w:val="258A1146"/>
    <w:rsid w:val="26197D30"/>
    <w:rsid w:val="266433E2"/>
    <w:rsid w:val="271C0F2C"/>
    <w:rsid w:val="2812143D"/>
    <w:rsid w:val="28403813"/>
    <w:rsid w:val="28507849"/>
    <w:rsid w:val="28643ED1"/>
    <w:rsid w:val="288E1270"/>
    <w:rsid w:val="28F05A69"/>
    <w:rsid w:val="299A404E"/>
    <w:rsid w:val="29AA0FC5"/>
    <w:rsid w:val="29D62513"/>
    <w:rsid w:val="2A102562"/>
    <w:rsid w:val="2A2D2AA2"/>
    <w:rsid w:val="2A577EE5"/>
    <w:rsid w:val="2A773612"/>
    <w:rsid w:val="2A9C6583"/>
    <w:rsid w:val="2B044801"/>
    <w:rsid w:val="2B1700C7"/>
    <w:rsid w:val="2B5804C0"/>
    <w:rsid w:val="2B65718C"/>
    <w:rsid w:val="2BA54F2C"/>
    <w:rsid w:val="2BDB6BA0"/>
    <w:rsid w:val="2C425D39"/>
    <w:rsid w:val="2C464019"/>
    <w:rsid w:val="2C5A7AC4"/>
    <w:rsid w:val="2C674B70"/>
    <w:rsid w:val="2C7D44A2"/>
    <w:rsid w:val="2C815051"/>
    <w:rsid w:val="2C8D21F6"/>
    <w:rsid w:val="2C91647C"/>
    <w:rsid w:val="2C94751C"/>
    <w:rsid w:val="2CA742CF"/>
    <w:rsid w:val="2CAD34D9"/>
    <w:rsid w:val="2D9B09E0"/>
    <w:rsid w:val="2DAB403E"/>
    <w:rsid w:val="2DC7695E"/>
    <w:rsid w:val="2DF25A8B"/>
    <w:rsid w:val="2DF30C05"/>
    <w:rsid w:val="2E92116A"/>
    <w:rsid w:val="2E947D9A"/>
    <w:rsid w:val="2EC752F3"/>
    <w:rsid w:val="2EDF69A7"/>
    <w:rsid w:val="2F006AF0"/>
    <w:rsid w:val="2F01025C"/>
    <w:rsid w:val="2FC8509A"/>
    <w:rsid w:val="2FDB2CCA"/>
    <w:rsid w:val="305E0E7E"/>
    <w:rsid w:val="308E6710"/>
    <w:rsid w:val="30B00B8C"/>
    <w:rsid w:val="30B11C7D"/>
    <w:rsid w:val="30B2432A"/>
    <w:rsid w:val="30E24FAE"/>
    <w:rsid w:val="315151AB"/>
    <w:rsid w:val="31633E12"/>
    <w:rsid w:val="31853836"/>
    <w:rsid w:val="320A7897"/>
    <w:rsid w:val="320B53DF"/>
    <w:rsid w:val="321E1594"/>
    <w:rsid w:val="33656F34"/>
    <w:rsid w:val="338D48CD"/>
    <w:rsid w:val="33AD634D"/>
    <w:rsid w:val="33C31B19"/>
    <w:rsid w:val="340424B0"/>
    <w:rsid w:val="342C3DCF"/>
    <w:rsid w:val="34C71A6F"/>
    <w:rsid w:val="35904CED"/>
    <w:rsid w:val="361433DA"/>
    <w:rsid w:val="362F5E84"/>
    <w:rsid w:val="36906C94"/>
    <w:rsid w:val="37022D4B"/>
    <w:rsid w:val="374A6A5A"/>
    <w:rsid w:val="37A81E64"/>
    <w:rsid w:val="37B07132"/>
    <w:rsid w:val="37B83721"/>
    <w:rsid w:val="37D74404"/>
    <w:rsid w:val="38216821"/>
    <w:rsid w:val="38A8605B"/>
    <w:rsid w:val="38FA7665"/>
    <w:rsid w:val="39072CC9"/>
    <w:rsid w:val="39262865"/>
    <w:rsid w:val="392D3E5B"/>
    <w:rsid w:val="39CE291B"/>
    <w:rsid w:val="3A1D7B03"/>
    <w:rsid w:val="3A7D0B87"/>
    <w:rsid w:val="3A9C539C"/>
    <w:rsid w:val="3A9E5C81"/>
    <w:rsid w:val="3ADE7B13"/>
    <w:rsid w:val="3B075174"/>
    <w:rsid w:val="3B4541EE"/>
    <w:rsid w:val="3C0506E8"/>
    <w:rsid w:val="3C2A2F75"/>
    <w:rsid w:val="3C3919B2"/>
    <w:rsid w:val="3D3D1420"/>
    <w:rsid w:val="3D59542A"/>
    <w:rsid w:val="3D654F9D"/>
    <w:rsid w:val="3D941CAE"/>
    <w:rsid w:val="3DA21757"/>
    <w:rsid w:val="3DB644FD"/>
    <w:rsid w:val="3DD74F30"/>
    <w:rsid w:val="3E9E2257"/>
    <w:rsid w:val="3EB406CB"/>
    <w:rsid w:val="40672358"/>
    <w:rsid w:val="409C1E7F"/>
    <w:rsid w:val="409F5F96"/>
    <w:rsid w:val="4211123D"/>
    <w:rsid w:val="422435A7"/>
    <w:rsid w:val="425651E5"/>
    <w:rsid w:val="42925DB2"/>
    <w:rsid w:val="42BC192F"/>
    <w:rsid w:val="42CB1744"/>
    <w:rsid w:val="43030A5E"/>
    <w:rsid w:val="438C5729"/>
    <w:rsid w:val="43965E51"/>
    <w:rsid w:val="43A318F9"/>
    <w:rsid w:val="43E448F2"/>
    <w:rsid w:val="44A87F12"/>
    <w:rsid w:val="44CD30D2"/>
    <w:rsid w:val="44ED504B"/>
    <w:rsid w:val="452A471A"/>
    <w:rsid w:val="45561319"/>
    <w:rsid w:val="45592D7D"/>
    <w:rsid w:val="459E12E5"/>
    <w:rsid w:val="45F56509"/>
    <w:rsid w:val="463C09B7"/>
    <w:rsid w:val="464124D2"/>
    <w:rsid w:val="46662458"/>
    <w:rsid w:val="46983835"/>
    <w:rsid w:val="469C1E44"/>
    <w:rsid w:val="47451645"/>
    <w:rsid w:val="476B0D76"/>
    <w:rsid w:val="48195197"/>
    <w:rsid w:val="48342C92"/>
    <w:rsid w:val="48817F77"/>
    <w:rsid w:val="48E0509C"/>
    <w:rsid w:val="4920415B"/>
    <w:rsid w:val="49A64CDE"/>
    <w:rsid w:val="49BE5E51"/>
    <w:rsid w:val="49C4553D"/>
    <w:rsid w:val="49C64593"/>
    <w:rsid w:val="4A2222C5"/>
    <w:rsid w:val="4A3459A1"/>
    <w:rsid w:val="4A58386A"/>
    <w:rsid w:val="4A660C41"/>
    <w:rsid w:val="4AFD0BAD"/>
    <w:rsid w:val="4B693A74"/>
    <w:rsid w:val="4B7460AF"/>
    <w:rsid w:val="4B7F714E"/>
    <w:rsid w:val="4BAD450B"/>
    <w:rsid w:val="4BF77EA2"/>
    <w:rsid w:val="4C124497"/>
    <w:rsid w:val="4C662D23"/>
    <w:rsid w:val="4C7F7F6C"/>
    <w:rsid w:val="4C8A5D4C"/>
    <w:rsid w:val="4CDC4A97"/>
    <w:rsid w:val="4CE818AD"/>
    <w:rsid w:val="4D2A16AE"/>
    <w:rsid w:val="4D4A1EB8"/>
    <w:rsid w:val="4D4D14F8"/>
    <w:rsid w:val="4D5368AD"/>
    <w:rsid w:val="4D9675CF"/>
    <w:rsid w:val="4E1B64B8"/>
    <w:rsid w:val="4EC372F3"/>
    <w:rsid w:val="4F177FF6"/>
    <w:rsid w:val="4F37536F"/>
    <w:rsid w:val="4F402A50"/>
    <w:rsid w:val="4F5166AD"/>
    <w:rsid w:val="4F651E1F"/>
    <w:rsid w:val="4F665D41"/>
    <w:rsid w:val="4F786330"/>
    <w:rsid w:val="4F7B372A"/>
    <w:rsid w:val="4F887899"/>
    <w:rsid w:val="4FAC49EC"/>
    <w:rsid w:val="4FBB16AB"/>
    <w:rsid w:val="4FBC0A4C"/>
    <w:rsid w:val="50152B62"/>
    <w:rsid w:val="50875038"/>
    <w:rsid w:val="50897CB4"/>
    <w:rsid w:val="50AB0737"/>
    <w:rsid w:val="50C51103"/>
    <w:rsid w:val="50D0737A"/>
    <w:rsid w:val="50E43195"/>
    <w:rsid w:val="511016CD"/>
    <w:rsid w:val="517F39BC"/>
    <w:rsid w:val="527B62CC"/>
    <w:rsid w:val="52862B12"/>
    <w:rsid w:val="529A677D"/>
    <w:rsid w:val="52FE5D2C"/>
    <w:rsid w:val="53420D1D"/>
    <w:rsid w:val="536621CA"/>
    <w:rsid w:val="53BE32A0"/>
    <w:rsid w:val="53DC11C5"/>
    <w:rsid w:val="53F95EAA"/>
    <w:rsid w:val="54576514"/>
    <w:rsid w:val="558E494E"/>
    <w:rsid w:val="55DA1A70"/>
    <w:rsid w:val="55E51856"/>
    <w:rsid w:val="573C5EC4"/>
    <w:rsid w:val="57440AE4"/>
    <w:rsid w:val="575414DF"/>
    <w:rsid w:val="579C55B7"/>
    <w:rsid w:val="57DF2AD9"/>
    <w:rsid w:val="57FB2251"/>
    <w:rsid w:val="57FD3876"/>
    <w:rsid w:val="580104F3"/>
    <w:rsid w:val="581E589F"/>
    <w:rsid w:val="586B07E0"/>
    <w:rsid w:val="589325D0"/>
    <w:rsid w:val="58974374"/>
    <w:rsid w:val="58C4078A"/>
    <w:rsid w:val="58DE0117"/>
    <w:rsid w:val="590E3662"/>
    <w:rsid w:val="5A092F04"/>
    <w:rsid w:val="5A1C153E"/>
    <w:rsid w:val="5A755946"/>
    <w:rsid w:val="5A9529FF"/>
    <w:rsid w:val="5ACC02EB"/>
    <w:rsid w:val="5B016BD5"/>
    <w:rsid w:val="5B4354C5"/>
    <w:rsid w:val="5B5F03A4"/>
    <w:rsid w:val="5C396A71"/>
    <w:rsid w:val="5C427A39"/>
    <w:rsid w:val="5C4D4754"/>
    <w:rsid w:val="5C512DE2"/>
    <w:rsid w:val="5C546A2C"/>
    <w:rsid w:val="5C910A31"/>
    <w:rsid w:val="5CFC234E"/>
    <w:rsid w:val="5D605245"/>
    <w:rsid w:val="5DC960FF"/>
    <w:rsid w:val="5DCA7CAC"/>
    <w:rsid w:val="5EF82A20"/>
    <w:rsid w:val="5F583033"/>
    <w:rsid w:val="5FD66F9A"/>
    <w:rsid w:val="605B7A96"/>
    <w:rsid w:val="60687201"/>
    <w:rsid w:val="606C20A3"/>
    <w:rsid w:val="606F6F21"/>
    <w:rsid w:val="60E32FFC"/>
    <w:rsid w:val="619314C1"/>
    <w:rsid w:val="61D814EE"/>
    <w:rsid w:val="62143C1A"/>
    <w:rsid w:val="62171E4A"/>
    <w:rsid w:val="62752DD8"/>
    <w:rsid w:val="628F19C9"/>
    <w:rsid w:val="629605EB"/>
    <w:rsid w:val="62E17CA0"/>
    <w:rsid w:val="63761CDA"/>
    <w:rsid w:val="637B4C5D"/>
    <w:rsid w:val="64752A78"/>
    <w:rsid w:val="6620104D"/>
    <w:rsid w:val="66394057"/>
    <w:rsid w:val="666B5C2F"/>
    <w:rsid w:val="66F8729A"/>
    <w:rsid w:val="67354616"/>
    <w:rsid w:val="67AB0BF9"/>
    <w:rsid w:val="67B06154"/>
    <w:rsid w:val="67E44B54"/>
    <w:rsid w:val="67F504B8"/>
    <w:rsid w:val="6806029B"/>
    <w:rsid w:val="68464AB7"/>
    <w:rsid w:val="68C963DA"/>
    <w:rsid w:val="68D4203B"/>
    <w:rsid w:val="68ED6FEF"/>
    <w:rsid w:val="69116D48"/>
    <w:rsid w:val="692505BA"/>
    <w:rsid w:val="695D07DC"/>
    <w:rsid w:val="696A6892"/>
    <w:rsid w:val="699B47FA"/>
    <w:rsid w:val="69B664CA"/>
    <w:rsid w:val="6A330201"/>
    <w:rsid w:val="6A3C1FDC"/>
    <w:rsid w:val="6B685053"/>
    <w:rsid w:val="6BA353B4"/>
    <w:rsid w:val="6BDE4CA9"/>
    <w:rsid w:val="6C262F44"/>
    <w:rsid w:val="6CC560F4"/>
    <w:rsid w:val="6CDC73C3"/>
    <w:rsid w:val="6D4F2026"/>
    <w:rsid w:val="6E065E09"/>
    <w:rsid w:val="6F5A4CB2"/>
    <w:rsid w:val="6F6A202C"/>
    <w:rsid w:val="6FAC07EB"/>
    <w:rsid w:val="6FF41F1C"/>
    <w:rsid w:val="70762E05"/>
    <w:rsid w:val="709335E5"/>
    <w:rsid w:val="71DC40A5"/>
    <w:rsid w:val="724A722B"/>
    <w:rsid w:val="725A72B6"/>
    <w:rsid w:val="728236CD"/>
    <w:rsid w:val="72BC63B0"/>
    <w:rsid w:val="73471FC8"/>
    <w:rsid w:val="735C31FD"/>
    <w:rsid w:val="73966FA4"/>
    <w:rsid w:val="73BC3B4C"/>
    <w:rsid w:val="74143FCA"/>
    <w:rsid w:val="741573AD"/>
    <w:rsid w:val="747A08B7"/>
    <w:rsid w:val="74EF5D6B"/>
    <w:rsid w:val="75325D31"/>
    <w:rsid w:val="75D51641"/>
    <w:rsid w:val="75E65D37"/>
    <w:rsid w:val="765C33A9"/>
    <w:rsid w:val="76EF14C2"/>
    <w:rsid w:val="77027A74"/>
    <w:rsid w:val="774A39C7"/>
    <w:rsid w:val="774C5547"/>
    <w:rsid w:val="77D61A0D"/>
    <w:rsid w:val="78337553"/>
    <w:rsid w:val="7867140A"/>
    <w:rsid w:val="786F493D"/>
    <w:rsid w:val="78DA16E3"/>
    <w:rsid w:val="78E469CE"/>
    <w:rsid w:val="78F32400"/>
    <w:rsid w:val="79222CE5"/>
    <w:rsid w:val="79353EF7"/>
    <w:rsid w:val="795D3D1D"/>
    <w:rsid w:val="7A40602D"/>
    <w:rsid w:val="7B116F75"/>
    <w:rsid w:val="7BDC53CD"/>
    <w:rsid w:val="7BE16CE4"/>
    <w:rsid w:val="7BE72CD8"/>
    <w:rsid w:val="7BFB1605"/>
    <w:rsid w:val="7BFB4911"/>
    <w:rsid w:val="7C172EA1"/>
    <w:rsid w:val="7C6E11C0"/>
    <w:rsid w:val="7D186ACE"/>
    <w:rsid w:val="7D280851"/>
    <w:rsid w:val="7D3B4537"/>
    <w:rsid w:val="7D770681"/>
    <w:rsid w:val="7DE408DA"/>
    <w:rsid w:val="7E325778"/>
    <w:rsid w:val="7E6A0538"/>
    <w:rsid w:val="7EC96157"/>
    <w:rsid w:val="7EE16B4D"/>
    <w:rsid w:val="7F0D1D41"/>
    <w:rsid w:val="7F4F7C7D"/>
    <w:rsid w:val="7F6566BD"/>
    <w:rsid w:val="7F91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alloon Text"/>
    <w:basedOn w:val="1"/>
    <w:link w:val="24"/>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2"/>
    <w:qFormat/>
    <w:uiPriority w:val="0"/>
    <w:rPr>
      <w:b/>
      <w:bCs/>
    </w:rPr>
  </w:style>
  <w:style w:type="table" w:styleId="11">
    <w:name w:val="Table Grid"/>
    <w:basedOn w:val="10"/>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character" w:customStyle="1" w:styleId="14">
    <w:name w:val="font61"/>
    <w:basedOn w:val="12"/>
    <w:qFormat/>
    <w:uiPriority w:val="0"/>
    <w:rPr>
      <w:rFonts w:hint="default" w:ascii="Times New Roman" w:hAnsi="Times New Roman" w:cs="Times New Roman"/>
      <w:b/>
      <w:bCs/>
      <w:color w:val="000000"/>
      <w:sz w:val="22"/>
      <w:szCs w:val="22"/>
      <w:u w:val="none"/>
    </w:rPr>
  </w:style>
  <w:style w:type="character" w:customStyle="1" w:styleId="15">
    <w:name w:val="font11"/>
    <w:basedOn w:val="12"/>
    <w:qFormat/>
    <w:uiPriority w:val="0"/>
    <w:rPr>
      <w:rFonts w:hint="eastAsia" w:ascii="宋体" w:hAnsi="宋体" w:eastAsia="宋体" w:cs="宋体"/>
      <w:b/>
      <w:bCs/>
      <w:color w:val="000000"/>
      <w:sz w:val="22"/>
      <w:szCs w:val="22"/>
      <w:u w:val="none"/>
    </w:rPr>
  </w:style>
  <w:style w:type="character" w:customStyle="1" w:styleId="16">
    <w:name w:val="font51"/>
    <w:basedOn w:val="12"/>
    <w:qFormat/>
    <w:uiPriority w:val="0"/>
    <w:rPr>
      <w:rFonts w:hint="eastAsia" w:ascii="宋体" w:hAnsi="宋体" w:eastAsia="宋体" w:cs="宋体"/>
      <w:b/>
      <w:bCs/>
      <w:color w:val="4BACC6"/>
      <w:sz w:val="22"/>
      <w:szCs w:val="22"/>
      <w:u w:val="none"/>
    </w:rPr>
  </w:style>
  <w:style w:type="character" w:customStyle="1" w:styleId="17">
    <w:name w:val="font91"/>
    <w:basedOn w:val="12"/>
    <w:qFormat/>
    <w:uiPriority w:val="0"/>
    <w:rPr>
      <w:rFonts w:hint="default" w:ascii="Times New Roman" w:hAnsi="Times New Roman" w:cs="Times New Roman"/>
      <w:b/>
      <w:bCs/>
      <w:color w:val="4BACC6"/>
      <w:sz w:val="22"/>
      <w:szCs w:val="22"/>
      <w:u w:val="none"/>
    </w:rPr>
  </w:style>
  <w:style w:type="character" w:customStyle="1" w:styleId="18">
    <w:name w:val="font31"/>
    <w:basedOn w:val="12"/>
    <w:qFormat/>
    <w:uiPriority w:val="0"/>
    <w:rPr>
      <w:rFonts w:hint="eastAsia" w:ascii="宋体" w:hAnsi="宋体" w:eastAsia="宋体" w:cs="宋体"/>
      <w:color w:val="C00000"/>
      <w:sz w:val="22"/>
      <w:szCs w:val="22"/>
      <w:u w:val="none"/>
    </w:rPr>
  </w:style>
  <w:style w:type="character" w:customStyle="1" w:styleId="19">
    <w:name w:val="font81"/>
    <w:basedOn w:val="12"/>
    <w:qFormat/>
    <w:uiPriority w:val="0"/>
    <w:rPr>
      <w:rFonts w:hint="eastAsia" w:ascii="宋体" w:hAnsi="宋体" w:eastAsia="宋体" w:cs="宋体"/>
      <w:color w:val="000000"/>
      <w:sz w:val="22"/>
      <w:szCs w:val="22"/>
      <w:u w:val="none"/>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批注文字 字符"/>
    <w:basedOn w:val="12"/>
    <w:link w:val="4"/>
    <w:qFormat/>
    <w:uiPriority w:val="0"/>
    <w:rPr>
      <w:rFonts w:asciiTheme="minorHAnsi" w:hAnsiTheme="minorHAnsi" w:eastAsiaTheme="minorEastAsia" w:cstheme="minorBidi"/>
      <w:kern w:val="2"/>
      <w:sz w:val="21"/>
      <w:szCs w:val="22"/>
    </w:rPr>
  </w:style>
  <w:style w:type="character" w:customStyle="1" w:styleId="22">
    <w:name w:val="批注主题 字符"/>
    <w:basedOn w:val="21"/>
    <w:link w:val="9"/>
    <w:qFormat/>
    <w:uiPriority w:val="0"/>
    <w:rPr>
      <w:rFonts w:asciiTheme="minorHAnsi" w:hAnsiTheme="minorHAnsi" w:eastAsiaTheme="minorEastAsia" w:cstheme="minorBidi"/>
      <w:b/>
      <w:bCs/>
      <w:kern w:val="2"/>
      <w:sz w:val="21"/>
      <w:szCs w:val="22"/>
    </w:rPr>
  </w:style>
  <w:style w:type="character" w:customStyle="1" w:styleId="23">
    <w:name w:val="页眉 字符"/>
    <w:basedOn w:val="12"/>
    <w:link w:val="7"/>
    <w:qFormat/>
    <w:uiPriority w:val="0"/>
    <w:rPr>
      <w:rFonts w:asciiTheme="minorHAnsi" w:hAnsiTheme="minorHAnsi" w:eastAsiaTheme="minorEastAsia" w:cstheme="minorBidi"/>
      <w:kern w:val="2"/>
      <w:sz w:val="18"/>
      <w:szCs w:val="18"/>
    </w:rPr>
  </w:style>
  <w:style w:type="character" w:customStyle="1" w:styleId="24">
    <w:name w:val="批注框文本 字符"/>
    <w:basedOn w:val="12"/>
    <w:link w:val="5"/>
    <w:qFormat/>
    <w:uiPriority w:val="0"/>
    <w:rPr>
      <w:rFonts w:asciiTheme="minorHAnsi" w:hAnsiTheme="minorHAnsi" w:eastAsiaTheme="minorEastAsia" w:cstheme="minorBidi"/>
      <w:kern w:val="2"/>
      <w:sz w:val="18"/>
      <w:szCs w:val="18"/>
    </w:rPr>
  </w:style>
  <w:style w:type="paragraph" w:styleId="25">
    <w:name w:val="List Paragraph"/>
    <w:basedOn w:val="1"/>
    <w:qFormat/>
    <w:uiPriority w:val="99"/>
    <w:pPr>
      <w:ind w:firstLine="420" w:firstLineChars="200"/>
    </w:pPr>
  </w:style>
  <w:style w:type="paragraph" w:customStyle="1" w:styleId="26">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jw</Company>
  <Pages>35</Pages>
  <Words>14300</Words>
  <Characters>14965</Characters>
  <Lines>108</Lines>
  <Paragraphs>30</Paragraphs>
  <TotalTime>5</TotalTime>
  <ScaleCrop>false</ScaleCrop>
  <LinksUpToDate>false</LinksUpToDate>
  <CharactersWithSpaces>15134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2022-08-30T00:59:00Z</dcterms:created>
  <dc:creator>烟如织</dc:creator>
  <cp:lastModifiedBy>Lry</cp:lastModifiedBy>
  <dcterms:modified xsi:type="dcterms:W3CDTF">2022-10-21T00:39:40Z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0D42442F319348A78652976936EA442D</vt:lpwstr>
  </property>
</Properties>
</file>