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方正黑体_GBK" w:hAnsi="方正小标宋_GBK" w:eastAsia="方正黑体_GBK" w:cs="方正小标宋_GBK"/>
          <w:color w:val="000000" w:themeColor="text1"/>
          <w:spacing w:val="-6"/>
          <w:sz w:val="32"/>
          <w:szCs w:val="32"/>
          <w:lang w:val="en-US" w:eastAsia="zh-CN"/>
          <w14:textFill>
            <w14:solidFill>
              <w14:schemeClr w14:val="tx1"/>
            </w14:solidFill>
          </w14:textFill>
        </w:rPr>
      </w:pPr>
      <w:r>
        <w:rPr>
          <w:rFonts w:hint="default" w:ascii="方正黑体_GBK" w:hAnsi="方正小标宋_GBK" w:eastAsia="方正黑体_GBK" w:cs="方正小标宋_GBK"/>
          <w:color w:val="000000" w:themeColor="text1"/>
          <w:spacing w:val="-6"/>
          <w:sz w:val="32"/>
          <w:szCs w:val="32"/>
          <w:lang w:eastAsia="zh-CN"/>
          <w14:textFill>
            <w14:solidFill>
              <w14:schemeClr w14:val="tx1"/>
            </w14:solidFill>
          </w14:textFill>
        </w:rPr>
        <w:t>附件</w:t>
      </w:r>
      <w:r>
        <w:rPr>
          <w:rFonts w:hint="eastAsia" w:ascii="方正黑体_GBK" w:hAnsi="方正小标宋_GBK" w:eastAsia="方正黑体_GBK" w:cs="方正小标宋_GBK"/>
          <w:color w:val="000000" w:themeColor="text1"/>
          <w:spacing w:val="-6"/>
          <w:sz w:val="32"/>
          <w:szCs w:val="32"/>
          <w:lang w:val="en-US" w:eastAsia="zh-CN"/>
          <w14:textFill>
            <w14:solidFill>
              <w14:schemeClr w14:val="tx1"/>
            </w14:solidFill>
          </w14:textFill>
        </w:rPr>
        <w:t>2</w:t>
      </w:r>
    </w:p>
    <w:p>
      <w:pPr>
        <w:keepNext w:val="0"/>
        <w:keepLines w:val="0"/>
        <w:pageBreakBefore w:val="0"/>
        <w:kinsoku/>
        <w:wordWrap/>
        <w:overflowPunct/>
        <w:topLinePunct w:val="0"/>
        <w:autoSpaceDE/>
        <w:autoSpaceDN/>
        <w:bidi w:val="0"/>
        <w:spacing w:line="560" w:lineRule="exact"/>
        <w:textAlignment w:val="auto"/>
        <w:rPr>
          <w:rFonts w:hint="eastAsia" w:ascii="方正黑体_GBK" w:hAnsi="方正小标宋_GBK" w:eastAsia="方正黑体_GBK" w:cs="方正小标宋_GBK"/>
          <w:color w:val="000000" w:themeColor="text1"/>
          <w:spacing w:val="-6"/>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_GBK" w:hAnsi="方正小标宋_GBK" w:eastAsia="方正小标宋_GBK" w:cs="方正小标宋_GBK"/>
          <w:color w:val="000000" w:themeColor="text1"/>
          <w:sz w:val="44"/>
          <w:szCs w:val="44"/>
          <w:lang w:val="en-US"/>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中等职业教育质量年度报告编制参考</w:t>
      </w: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框架</w:t>
      </w:r>
    </w:p>
    <w:p>
      <w:pPr>
        <w:pStyle w:val="5"/>
        <w:spacing w:before="0" w:beforeAutospacing="0" w:after="0" w:afterAutospacing="0"/>
        <w:jc w:val="center"/>
        <w:outlineLvl w:val="2"/>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（各地各校可根据实际进行调整）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基本情况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1.1规模结构。包括区域内中等职业学校总数、总体办学规模、高中阶段普职招生比例、试点举办综合高中班等数据及与上一年度相比的变化情况。不同隶属（省属、市属、县属）、不同性质（公办、民办）学校数量及各自的办学规模及与上一年度相比的变化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1.2资源投入。包括生均校园占地面积、生均校舍建筑面积、生均教学仪器设备资产值、生均实训实习工位数、纸质图书、电子图书资源等基本办学条件数据及与上一年度相比的变化情况。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【典型案例2</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【典型案例3</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 学生发展质量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.1党建引领。</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包括以党建引领促进学生教育、管理、服务各项工作的举措、成效等。</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2.2立德树人。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包括推动“三全育人”工作情况、德智体美劳“五育并举”工作情况等，体育课专任教师数、美育课专任教师数、思想课教师数、德育管理人员数、班主任等数据及与上一年度相比的变化情况。</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2.3在校体验。包括让学生满意、家长满意、社会满意的主要教育教学举措，在校生课堂育人满意度、课外育人满意度、</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思想政治课教学满意度、公共基础课（不含思想政治课）教学满意度、专业课教学满意度，毕业生满意度等。</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2.4就业质量。包括毕业生总数、就业人数、就业率、毕业生专业对口就业率、毕业生服务三次产业人数、就业单位对毕业生职业素养及职业技能的满意度、初次就业月收入、创业率等数据及与上一年度相比的变化情况，疫情对学生就业的影响及教育行政部门的帮扶措施。</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2.5创新创业。包括促进学生创新创业的举措及成效。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2.6技能大赛。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包括培育和传承工匠精神、学生技能大赛工作情况、职业技能大赛获奖尤其全国职业院校技能大赛学生获奖数及全国职业技能大赛学生获奖数情况等数据及与上一年度相比的变化情况。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【典型案例2</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【典型案例3</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 教育教学质量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3.1专业建设质量。包括专业设置动态调整与结构优化、专业与当地产业吻合度、贡献率，专业建设相关成果。</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3.2课程建设质量。包括提升课程建设质量的举措及成效；思政课程与课程思政工作开展情况及成效，地市、省、国家级思想政治课教学创新团队数量、省级及以上思想政治课示范课堂数据等。</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3.3教学方法改革。</w:t>
      </w:r>
      <w:r>
        <w:rPr>
          <w:rFonts w:hint="eastAsia" w:ascii="方正仿宋_GBK" w:hAnsi="方正仿宋_GBK" w:eastAsia="方正仿宋_GBK" w:cs="方正仿宋_GBK"/>
          <w:color w:val="000000" w:themeColor="text1"/>
          <w:kern w:val="2"/>
          <w:sz w:val="32"/>
          <w:szCs w:val="32"/>
          <w:shd w:val="clear" w:color="auto" w:fill="FFFFFF"/>
          <w14:textFill>
            <w14:solidFill>
              <w14:schemeClr w14:val="tx1"/>
            </w14:solidFill>
          </w14:textFill>
        </w:rPr>
        <w:t>包括推进教法改革情况，推进课证融通情况、现代信息技术与职业教育深度融合情况等。</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3.4教材建设质量。包括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教材建设及改革举措及成效。</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3.5数字化教学资源建设。包括推进教育数字化转型情况、</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数字教学资源建设成效等。</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3.6师资队伍建设。</w:t>
      </w:r>
      <w:r>
        <w:rPr>
          <w:rFonts w:hint="eastAsia" w:ascii="方正仿宋_GBK" w:hAnsi="方正仿宋_GBK" w:eastAsia="方正仿宋_GBK" w:cs="方正仿宋_GBK"/>
          <w:color w:val="000000" w:themeColor="text1"/>
          <w:kern w:val="2"/>
          <w:sz w:val="32"/>
          <w:szCs w:val="32"/>
          <w:shd w:val="clear" w:color="auto" w:fill="FFFFFF"/>
          <w14:textFill>
            <w14:solidFill>
              <w14:schemeClr w14:val="tx1"/>
            </w14:solidFill>
          </w14:textFill>
        </w:rPr>
        <w:t>教师培养培训、推进双师型建设队伍建设情况、教师大赛工作及成效等；生师比、双师型教师总数、教职员工总数、专任教师总数、硕士研究生及以上学历专任教师占比、高级专业技术职务专任教师占比等数据及与上一年度相比的变化情况。</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3.7校企双元育人。包括</w:t>
      </w:r>
      <w:r>
        <w:rPr>
          <w:rFonts w:hint="eastAsia" w:ascii="方正仿宋_GBK" w:hAnsi="方正仿宋_GBK" w:eastAsia="方正仿宋_GBK" w:cs="方正仿宋_GBK"/>
          <w:color w:val="000000" w:themeColor="text1"/>
          <w:kern w:val="2"/>
          <w:sz w:val="32"/>
          <w:szCs w:val="32"/>
          <w14:textFill>
            <w14:solidFill>
              <w14:schemeClr w14:val="tx1"/>
            </w14:solidFill>
          </w14:textFill>
        </w:rPr>
        <w:t>校企合作开展基本情况</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shd w:val="clear" w:color="auto" w:fill="FFFFFF"/>
          <w14:textFill>
            <w14:solidFill>
              <w14:schemeClr w14:val="tx1"/>
            </w14:solidFill>
          </w14:textFill>
        </w:rPr>
        <w:t>包括促进产教融合校企双元育人、推进中国特色现代学徒制工作情况、“1+X”证书制度实施情况、合作企业接收学生实习比例等。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【典型案例2</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【典型案例3</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国际合作质量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.1留学生培养质量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.2合作办学质量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.3开发标准质量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.4国（境）外独立办学质量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.5助力“一带一路”建设质量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.6提升学生国际化素养质量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【典型案例1】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【典型案例2</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【典型案例3</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5服务贡献质量</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.1服务行业企业。</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包括服务行业企业、服务中小微企业技术研发和产品升级、助力地方产业转型升级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等方面的举措及成效。</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.2服务地方发展。</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包括增强职业院校服务地方发展能力的举措及成效。</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.3服务乡村振兴。</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包括围绕乡村振兴强化人才培养、开展社会服务等方面的举措及成效。</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.4服务地方社区。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包括服务地方社区的举措及成效。</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.5具有地域特色的服务</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5.6具有本校特色的服务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【典型案例2</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【典型案例3</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6政策落实质量</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6.1国家政策落实</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6.2地方政策落实</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6.3学校治理</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6.4质量保证体系建设</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6.5经费投入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【典型案例1】</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【典型案例2</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【典型案例3</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7面临挑战</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挑战1：</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挑战2：</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挑战3：</w:t>
      </w:r>
    </w:p>
    <w:p>
      <w:pPr>
        <w:keepNext w:val="0"/>
        <w:keepLines w:val="0"/>
        <w:pageBreakBefore w:val="0"/>
        <w:tabs>
          <w:tab w:val="left" w:pos="958"/>
          <w:tab w:val="left" w:pos="1078"/>
        </w:tabs>
        <w:kinsoku/>
        <w:wordWrap/>
        <w:overflowPunct/>
        <w:topLinePunct w:val="0"/>
        <w:autoSpaceDE/>
        <w:autoSpaceDN/>
        <w:bidi w:val="0"/>
        <w:spacing w:line="560" w:lineRule="exact"/>
        <w:ind w:firstLine="640" w:firstLineChars="200"/>
        <w:textAlignment w:val="auto"/>
        <w:outlineLvl w:val="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附表</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表1 中等职业教育质量数据表</w:t>
      </w:r>
    </w:p>
    <w:p>
      <w:pPr>
        <w:keepNext w:val="0"/>
        <w:keepLines w:val="0"/>
        <w:pageBreakBefore w:val="0"/>
        <w:tabs>
          <w:tab w:val="left" w:pos="958"/>
          <w:tab w:val="left" w:pos="1078"/>
        </w:tabs>
        <w:kinsoku/>
        <w:wordWrap/>
        <w:overflowPunct/>
        <w:topLinePunct w:val="0"/>
        <w:autoSpaceDE/>
        <w:autoSpaceDN/>
        <w:bidi w:val="0"/>
        <w:spacing w:line="560" w:lineRule="exact"/>
        <w:ind w:firstLine="960" w:firstLineChars="300"/>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表2 满意度调查表</w:t>
      </w:r>
    </w:p>
    <w:p>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典型案例编写要求</w:t>
      </w:r>
    </w:p>
    <w:p>
      <w:pPr>
        <w:pStyle w:val="5"/>
        <w:keepNext w:val="0"/>
        <w:keepLines w:val="0"/>
        <w:pageBreakBefore w:val="0"/>
        <w:kinsoku/>
        <w:wordWrap/>
        <w:overflowPunct/>
        <w:topLinePunct w:val="0"/>
        <w:autoSpaceDE/>
        <w:autoSpaceDN/>
        <w:bidi w:val="0"/>
        <w:spacing w:before="240" w:beforeAutospacing="0" w:after="0" w:afterAutospacing="0" w:line="560" w:lineRule="exact"/>
        <w:ind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1.案例主题。各地市进行全面总结和系统梳理，重点展示贯彻全国职业教育大会精神的关键举措，特别是服务国家战略、服务地方发展、开展技术研发、服务行业企业、服务学生发展等方面的典型案例。</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“基本情况”“学生发展”“教育教学”“</w:t>
      </w:r>
      <w:r>
        <w:rPr>
          <w:rFonts w:hint="eastAsia" w:ascii="方正仿宋_GBK" w:hAnsi="方正仿宋_GBK" w:eastAsia="方正仿宋_GBK" w:cs="方正仿宋_GBK"/>
          <w:color w:val="000000" w:themeColor="text1"/>
          <w:sz w:val="32"/>
          <w:szCs w:val="32"/>
          <w14:textFill>
            <w14:solidFill>
              <w14:schemeClr w14:val="tx1"/>
            </w14:solidFill>
          </w14:textFill>
        </w:rPr>
        <w:t>校企合作</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”“国际合作”“服务贡献”“政策保障”“学校党建”等每个主题模块至少提供1个典型案例。</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2.案例内容。典型案例一般应包括：案例背景、主要做法、工作成效、示范引领等，案例篇幅控制在2000字左右。</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3.案例格式。案例应主旨明确、</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层次分明、逻辑性强、语言凝练、图文并茂（图片采用JPG格式，分辨率应达到300dpi，须注明单位名称、标题等）。</w:t>
      </w:r>
    </w:p>
    <w:p>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0D"/>
    <w:rsid w:val="000104DB"/>
    <w:rsid w:val="00057696"/>
    <w:rsid w:val="000709D4"/>
    <w:rsid w:val="000A1D42"/>
    <w:rsid w:val="000D5B83"/>
    <w:rsid w:val="000E7700"/>
    <w:rsid w:val="001167B1"/>
    <w:rsid w:val="00147A50"/>
    <w:rsid w:val="001712B6"/>
    <w:rsid w:val="00172AF6"/>
    <w:rsid w:val="0017443C"/>
    <w:rsid w:val="001B5809"/>
    <w:rsid w:val="00223474"/>
    <w:rsid w:val="00256BD6"/>
    <w:rsid w:val="002571C2"/>
    <w:rsid w:val="00263C7F"/>
    <w:rsid w:val="00294135"/>
    <w:rsid w:val="002A1251"/>
    <w:rsid w:val="00313950"/>
    <w:rsid w:val="003641CF"/>
    <w:rsid w:val="00372976"/>
    <w:rsid w:val="00391CBF"/>
    <w:rsid w:val="003E222D"/>
    <w:rsid w:val="003E561F"/>
    <w:rsid w:val="003E612F"/>
    <w:rsid w:val="00401FA9"/>
    <w:rsid w:val="00405ED6"/>
    <w:rsid w:val="00407A0F"/>
    <w:rsid w:val="0041029F"/>
    <w:rsid w:val="00460C56"/>
    <w:rsid w:val="00484C20"/>
    <w:rsid w:val="004A047B"/>
    <w:rsid w:val="004E1460"/>
    <w:rsid w:val="0056354F"/>
    <w:rsid w:val="005859A4"/>
    <w:rsid w:val="0059230F"/>
    <w:rsid w:val="00594509"/>
    <w:rsid w:val="005D3A7D"/>
    <w:rsid w:val="005E0736"/>
    <w:rsid w:val="005F5F96"/>
    <w:rsid w:val="00622D26"/>
    <w:rsid w:val="0063526E"/>
    <w:rsid w:val="006416B7"/>
    <w:rsid w:val="0067442C"/>
    <w:rsid w:val="006830AA"/>
    <w:rsid w:val="00683861"/>
    <w:rsid w:val="006B5C92"/>
    <w:rsid w:val="006C5BBD"/>
    <w:rsid w:val="006C68BE"/>
    <w:rsid w:val="006E77F7"/>
    <w:rsid w:val="006F250D"/>
    <w:rsid w:val="00704646"/>
    <w:rsid w:val="007342D2"/>
    <w:rsid w:val="00754FDE"/>
    <w:rsid w:val="0075648A"/>
    <w:rsid w:val="00765B6E"/>
    <w:rsid w:val="00774DD9"/>
    <w:rsid w:val="0078658E"/>
    <w:rsid w:val="007A58F1"/>
    <w:rsid w:val="008061BC"/>
    <w:rsid w:val="008142B9"/>
    <w:rsid w:val="00823702"/>
    <w:rsid w:val="00862684"/>
    <w:rsid w:val="00897309"/>
    <w:rsid w:val="008A4A74"/>
    <w:rsid w:val="008F3D1E"/>
    <w:rsid w:val="00944A15"/>
    <w:rsid w:val="009565DF"/>
    <w:rsid w:val="00972774"/>
    <w:rsid w:val="009C53CB"/>
    <w:rsid w:val="009E3B27"/>
    <w:rsid w:val="00A0366F"/>
    <w:rsid w:val="00A05FFD"/>
    <w:rsid w:val="00A11939"/>
    <w:rsid w:val="00A7138E"/>
    <w:rsid w:val="00AA6F3D"/>
    <w:rsid w:val="00AC1140"/>
    <w:rsid w:val="00AF687B"/>
    <w:rsid w:val="00B22BD5"/>
    <w:rsid w:val="00BA5EFD"/>
    <w:rsid w:val="00BC6C6C"/>
    <w:rsid w:val="00BF4944"/>
    <w:rsid w:val="00C20CD3"/>
    <w:rsid w:val="00C358A3"/>
    <w:rsid w:val="00C449BC"/>
    <w:rsid w:val="00C5683C"/>
    <w:rsid w:val="00C90426"/>
    <w:rsid w:val="00C921E9"/>
    <w:rsid w:val="00CC27A4"/>
    <w:rsid w:val="00D03D47"/>
    <w:rsid w:val="00D33E3F"/>
    <w:rsid w:val="00D3616D"/>
    <w:rsid w:val="00D568F7"/>
    <w:rsid w:val="00D963C1"/>
    <w:rsid w:val="00DC3023"/>
    <w:rsid w:val="00DE07DA"/>
    <w:rsid w:val="00DE41A4"/>
    <w:rsid w:val="00DF3C66"/>
    <w:rsid w:val="00E035D1"/>
    <w:rsid w:val="00E11893"/>
    <w:rsid w:val="00E4293A"/>
    <w:rsid w:val="00E91D32"/>
    <w:rsid w:val="00EC3074"/>
    <w:rsid w:val="00F44C6D"/>
    <w:rsid w:val="00F7672B"/>
    <w:rsid w:val="00FB42F7"/>
    <w:rsid w:val="00FE5E1D"/>
    <w:rsid w:val="0B400FD9"/>
    <w:rsid w:val="1F3D515F"/>
    <w:rsid w:val="3D052A5D"/>
    <w:rsid w:val="65747C65"/>
    <w:rsid w:val="657E1EA7"/>
    <w:rsid w:val="6E020319"/>
    <w:rsid w:val="6FEB0271"/>
    <w:rsid w:val="7917314B"/>
    <w:rsid w:val="7D40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1677</Characters>
  <Lines>13</Lines>
  <Paragraphs>3</Paragraphs>
  <TotalTime>1</TotalTime>
  <ScaleCrop>false</ScaleCrop>
  <LinksUpToDate>false</LinksUpToDate>
  <CharactersWithSpaces>1968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2021-09-23T07:06:00Z</dcterms:created>
  <dc:creator>郭雪峰</dc:creator>
  <cp:lastModifiedBy>曹宝亚</cp:lastModifiedBy>
  <cp:lastPrinted>2021-09-27T10:08:00Z</cp:lastPrinted>
  <dcterms:modified xsi:type="dcterms:W3CDTF">2022-11-18T08:00:11Z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