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安徽省宿城第一中学</w:t>
      </w:r>
      <w:r>
        <w:rPr>
          <w:rFonts w:hint="eastAsia" w:ascii="Times New Roman" w:hAnsi="Times New Roman" w:eastAsia="方正小标宋简体"/>
          <w:sz w:val="36"/>
          <w:szCs w:val="36"/>
        </w:rPr>
        <w:t>公开招聘教师岗位汇总表</w:t>
      </w:r>
    </w:p>
    <w:tbl>
      <w:tblPr>
        <w:tblStyle w:val="3"/>
        <w:tblW w:w="15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984"/>
        <w:gridCol w:w="2109"/>
        <w:gridCol w:w="984"/>
        <w:gridCol w:w="985"/>
        <w:gridCol w:w="1863"/>
        <w:gridCol w:w="1212"/>
        <w:gridCol w:w="1038"/>
        <w:gridCol w:w="98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招聘岗位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招聘人数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038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备注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bCs/>
                <w:kern w:val="0"/>
                <w:sz w:val="24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学历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年龄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专业技术职称或职业资格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科目</w:t>
            </w:r>
          </w:p>
        </w:tc>
        <w:tc>
          <w:tcPr>
            <w:tcW w:w="984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宿城一中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高中数学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040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153" w:type="dxa"/>
            <w:gridSpan w:val="5"/>
            <w:vMerge w:val="restart"/>
            <w:vAlign w:val="center"/>
          </w:tcPr>
          <w:p>
            <w:pPr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相应学科任职教师且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符合下列条件之一</w:t>
            </w:r>
          </w:p>
          <w:p>
            <w:pPr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周岁及以下，本科及以上学历，学士及以上学位，具有中学一级教师职称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省、市教坛新星，省、市学科带头人、骨干教师、教育主管部门举办的教学优质课评选省级二等奖以上获得者，年龄可放宽到</w:t>
            </w: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38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周岁。</w:t>
            </w:r>
          </w:p>
          <w:p>
            <w:pPr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周岁及以下，本科及以上学历，学士及以上学位，具有中学高级教师职称。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特级教师、正高级教师，年龄在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周岁以下。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笔试内容为该学科高中阶段课程标准所规定的内容。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0557-3917805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高中物理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153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高中化学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153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- 5 -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2023-06-28T10:21:26Z</dcterms:created>
  <dc:creator>Administrator</dc:creator>
  <cp:lastModifiedBy>微信用户</cp:lastModifiedBy>
  <dcterms:modified xsi:type="dcterms:W3CDTF">2023-06-28T10:21:40Z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